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EE" w:rsidRPr="00F26CB7" w:rsidRDefault="007875BD" w:rsidP="00187383">
      <w:pPr>
        <w:jc w:val="center"/>
        <w:rPr>
          <w:rFonts w:ascii="標楷體" w:eastAsia="標楷體" w:hAnsi="標楷體"/>
          <w:b/>
          <w:sz w:val="36"/>
        </w:rPr>
      </w:pPr>
      <w:r w:rsidRPr="007875BD">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71762426" wp14:editId="5C55AC9B">
                <wp:simplePos x="0" y="0"/>
                <wp:positionH relativeFrom="column">
                  <wp:posOffset>4056380</wp:posOffset>
                </wp:positionH>
                <wp:positionV relativeFrom="paragraph">
                  <wp:posOffset>-647700</wp:posOffset>
                </wp:positionV>
                <wp:extent cx="23742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875BD" w:rsidRDefault="007875BD">
                            <w:r w:rsidRPr="00284F3E">
                              <w:rPr>
                                <w:rFonts w:ascii="標楷體" w:eastAsia="標楷體" w:hAnsi="標楷體" w:hint="eastAsia"/>
                                <w:sz w:val="20"/>
                                <w:szCs w:val="20"/>
                              </w:rPr>
                              <w:t>臺北市政府都市發展局印製106.12.</w:t>
                            </w:r>
                            <w:r w:rsidR="00245747">
                              <w:rPr>
                                <w:rFonts w:ascii="標楷體" w:eastAsia="標楷體" w:hAnsi="標楷體" w:hint="eastAsia"/>
                                <w:sz w:val="20"/>
                                <w:szCs w:val="20"/>
                              </w:rPr>
                              <w:t>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19.4pt;margin-top:-5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" filled="f" stroked="f">
                <v:textbox style="mso-fit-shape-to-text:t">
                  <w:txbxContent>
                    <w:p w:rsidR="007875BD" w:rsidRDefault="007875BD">
                      <w:r w:rsidRPr="00284F3E">
                        <w:rPr>
                          <w:rFonts w:ascii="標楷體" w:eastAsia="標楷體" w:hAnsi="標楷體" w:hint="eastAsia"/>
                          <w:sz w:val="20"/>
                          <w:szCs w:val="20"/>
                        </w:rPr>
                        <w:t>臺北市政府都市發展局印製106.12.</w:t>
                      </w:r>
                      <w:r w:rsidR="00245747">
                        <w:rPr>
                          <w:rFonts w:ascii="標楷體" w:eastAsia="標楷體" w:hAnsi="標楷體" w:hint="eastAsia"/>
                          <w:sz w:val="20"/>
                          <w:szCs w:val="20"/>
                        </w:rPr>
                        <w:t>11</w:t>
                      </w:r>
                    </w:p>
                  </w:txbxContent>
                </v:textbox>
              </v:shape>
            </w:pict>
          </mc:Fallback>
        </mc:AlternateContent>
      </w:r>
      <w:proofErr w:type="gramStart"/>
      <w:r w:rsidR="00BB5341" w:rsidRPr="00F26CB7">
        <w:rPr>
          <w:rFonts w:ascii="標楷體" w:eastAsia="標楷體" w:hAnsi="標楷體" w:hint="eastAsia"/>
          <w:b/>
          <w:sz w:val="36"/>
        </w:rPr>
        <w:t>大彎北段</w:t>
      </w:r>
      <w:proofErr w:type="gramEnd"/>
      <w:r w:rsidR="00FB097F" w:rsidRPr="00F26CB7">
        <w:rPr>
          <w:rFonts w:ascii="標楷體" w:eastAsia="標楷體" w:hAnsi="標楷體" w:hint="eastAsia"/>
          <w:b/>
          <w:sz w:val="36"/>
        </w:rPr>
        <w:t>不得作住宅使用區域專案說明</w:t>
      </w:r>
    </w:p>
    <w:p w:rsidR="007805B2" w:rsidRPr="00A12265" w:rsidRDefault="004E0440" w:rsidP="004E0440">
      <w:pPr>
        <w:pStyle w:val="a4"/>
        <w:numPr>
          <w:ilvl w:val="0"/>
          <w:numId w:val="2"/>
        </w:numPr>
        <w:spacing w:beforeLines="50" w:before="180" w:afterLines="50" w:after="180" w:line="540" w:lineRule="exact"/>
        <w:ind w:leftChars="0"/>
        <w:rPr>
          <w:rFonts w:ascii="標楷體" w:eastAsia="標楷體" w:hAnsi="標楷體"/>
          <w:sz w:val="28"/>
          <w:szCs w:val="28"/>
        </w:rPr>
      </w:pPr>
      <w:r w:rsidRPr="00A12265">
        <w:rPr>
          <w:rFonts w:ascii="標楷體" w:eastAsia="標楷體" w:hAnsi="標楷體" w:hint="eastAsia"/>
          <w:b/>
          <w:sz w:val="28"/>
          <w:szCs w:val="28"/>
        </w:rPr>
        <w:t>審計處</w:t>
      </w:r>
      <w:r w:rsidRPr="00A12265">
        <w:rPr>
          <w:rFonts w:ascii="標楷體" w:eastAsia="標楷體" w:hAnsi="標楷體" w:hint="eastAsia"/>
          <w:sz w:val="28"/>
          <w:szCs w:val="28"/>
        </w:rPr>
        <w:t>104年度地方總決算審核報告內記載(略以)：大彎北段商業區及娛樂區有違規作住宅使用情事，惟臺北市政府未能掌握轄內違規現況，違規稽查處理機制亦未確定，致違規使用情形仍未改善，甚益形嚴重……依審計法第20條第2項規定，於民國104年12月11日陳報監察院；</w:t>
      </w:r>
      <w:r w:rsidR="0058469E" w:rsidRPr="00A12265">
        <w:rPr>
          <w:rFonts w:ascii="標楷體" w:eastAsia="標楷體" w:hAnsi="標楷體" w:hint="eastAsia"/>
          <w:sz w:val="28"/>
          <w:szCs w:val="28"/>
        </w:rPr>
        <w:t>105年</w:t>
      </w:r>
      <w:r w:rsidR="00985CE0" w:rsidRPr="00A12265">
        <w:rPr>
          <w:rFonts w:ascii="標楷體" w:eastAsia="標楷體" w:hAnsi="標楷體" w:hint="eastAsia"/>
          <w:sz w:val="28"/>
          <w:szCs w:val="28"/>
        </w:rPr>
        <w:t>8</w:t>
      </w:r>
      <w:r w:rsidR="00886E95" w:rsidRPr="00A12265">
        <w:rPr>
          <w:rFonts w:ascii="標楷體" w:eastAsia="標楷體" w:hAnsi="標楷體" w:hint="eastAsia"/>
          <w:sz w:val="28"/>
          <w:szCs w:val="28"/>
        </w:rPr>
        <w:t>月</w:t>
      </w:r>
      <w:r w:rsidR="00985CE0" w:rsidRPr="00A12265">
        <w:rPr>
          <w:rFonts w:ascii="標楷體" w:eastAsia="標楷體" w:hAnsi="標楷體" w:hint="eastAsia"/>
          <w:sz w:val="28"/>
          <w:szCs w:val="28"/>
        </w:rPr>
        <w:t>9日</w:t>
      </w:r>
      <w:r w:rsidR="00886E95" w:rsidRPr="00A12265">
        <w:rPr>
          <w:rFonts w:ascii="標楷體" w:eastAsia="標楷體" w:hAnsi="標楷體" w:hint="eastAsia"/>
          <w:b/>
          <w:sz w:val="28"/>
          <w:szCs w:val="28"/>
        </w:rPr>
        <w:t>監察院來函</w:t>
      </w:r>
      <w:r w:rsidR="00985CE0" w:rsidRPr="00A12265">
        <w:rPr>
          <w:rFonts w:ascii="標楷體" w:eastAsia="標楷體" w:hAnsi="標楷體" w:hint="eastAsia"/>
          <w:b/>
          <w:sz w:val="28"/>
          <w:szCs w:val="28"/>
        </w:rPr>
        <w:t>糾正</w:t>
      </w:r>
      <w:r w:rsidR="00985CE0" w:rsidRPr="00A12265">
        <w:rPr>
          <w:rFonts w:ascii="標楷體" w:eastAsia="標楷體" w:hAnsi="標楷體" w:hint="eastAsia"/>
          <w:sz w:val="28"/>
          <w:szCs w:val="28"/>
        </w:rPr>
        <w:t>本府對於大彎北段違規做住宅使用之處理</w:t>
      </w:r>
      <w:r w:rsidR="00774208" w:rsidRPr="00A12265">
        <w:rPr>
          <w:rFonts w:ascii="標楷體" w:eastAsia="標楷體" w:hAnsi="標楷體" w:hint="eastAsia"/>
          <w:sz w:val="28"/>
          <w:szCs w:val="28"/>
        </w:rPr>
        <w:t>「</w:t>
      </w:r>
      <w:r w:rsidR="00985CE0" w:rsidRPr="00A12265">
        <w:rPr>
          <w:rFonts w:ascii="標楷體" w:eastAsia="標楷體" w:hAnsi="標楷體" w:hint="eastAsia"/>
          <w:sz w:val="28"/>
          <w:szCs w:val="28"/>
        </w:rPr>
        <w:t>長期消極放任、顯有違失</w:t>
      </w:r>
      <w:r w:rsidR="00774208" w:rsidRPr="00A12265">
        <w:rPr>
          <w:rFonts w:ascii="標楷體" w:eastAsia="標楷體" w:hAnsi="標楷體" w:hint="eastAsia"/>
          <w:sz w:val="28"/>
          <w:szCs w:val="28"/>
        </w:rPr>
        <w:t>」，</w:t>
      </w:r>
      <w:r w:rsidR="00985CE0" w:rsidRPr="00A12265">
        <w:rPr>
          <w:rFonts w:ascii="標楷體" w:eastAsia="標楷體" w:hAnsi="標楷體" w:hint="eastAsia"/>
          <w:sz w:val="28"/>
          <w:szCs w:val="28"/>
        </w:rPr>
        <w:t>本府即會同</w:t>
      </w:r>
      <w:r w:rsidR="00886E95" w:rsidRPr="00A12265">
        <w:rPr>
          <w:rFonts w:ascii="標楷體" w:eastAsia="標楷體" w:hAnsi="標楷體" w:hint="eastAsia"/>
          <w:sz w:val="28"/>
          <w:szCs w:val="28"/>
        </w:rPr>
        <w:t>各相關單位</w:t>
      </w:r>
      <w:r w:rsidR="0058469E" w:rsidRPr="00A12265">
        <w:rPr>
          <w:rFonts w:ascii="標楷體" w:eastAsia="標楷體" w:hAnsi="標楷體" w:hint="eastAsia"/>
          <w:sz w:val="28"/>
          <w:szCs w:val="28"/>
        </w:rPr>
        <w:t>積極</w:t>
      </w:r>
      <w:r w:rsidR="00985CE0" w:rsidRPr="00A12265">
        <w:rPr>
          <w:rFonts w:ascii="標楷體" w:eastAsia="標楷體" w:hAnsi="標楷體" w:hint="eastAsia"/>
          <w:sz w:val="28"/>
          <w:szCs w:val="28"/>
        </w:rPr>
        <w:t>處理。</w:t>
      </w:r>
    </w:p>
    <w:p w:rsidR="00BB5341" w:rsidRPr="00F26CB7" w:rsidRDefault="00985CE0" w:rsidP="00C0649E">
      <w:pPr>
        <w:pStyle w:val="a4"/>
        <w:numPr>
          <w:ilvl w:val="0"/>
          <w:numId w:val="2"/>
        </w:numPr>
        <w:spacing w:beforeLines="50" w:before="180" w:afterLines="50" w:after="180" w:line="540" w:lineRule="exact"/>
        <w:ind w:leftChars="0" w:left="573" w:hanging="573"/>
        <w:rPr>
          <w:rFonts w:ascii="標楷體" w:eastAsia="標楷體" w:hAnsi="標楷體"/>
          <w:sz w:val="28"/>
          <w:szCs w:val="28"/>
        </w:rPr>
      </w:pPr>
      <w:r>
        <w:rPr>
          <w:rFonts w:ascii="標楷體" w:eastAsia="標楷體" w:hAnsi="標楷體" w:hint="eastAsia"/>
          <w:sz w:val="28"/>
          <w:szCs w:val="28"/>
        </w:rPr>
        <w:t>查</w:t>
      </w:r>
      <w:r w:rsidR="00BB5341" w:rsidRPr="00F26CB7">
        <w:rPr>
          <w:rFonts w:ascii="標楷體" w:eastAsia="標楷體" w:hAnsi="標楷體" w:hint="eastAsia"/>
          <w:sz w:val="28"/>
          <w:szCs w:val="28"/>
        </w:rPr>
        <w:t>本市中山區大彎北段商業區及娛樂區範圍內已於83年公告實施之細部計畫明訂不得作住宅使用之規定，其經歷</w:t>
      </w:r>
      <w:r w:rsidR="001A5A7C" w:rsidRPr="00F26CB7">
        <w:rPr>
          <w:rFonts w:ascii="標楷體" w:eastAsia="標楷體" w:hAnsi="標楷體" w:hint="eastAsia"/>
          <w:sz w:val="28"/>
          <w:szCs w:val="28"/>
        </w:rPr>
        <w:t>多次</w:t>
      </w:r>
      <w:r w:rsidR="00BB5341" w:rsidRPr="00F26CB7">
        <w:rPr>
          <w:rFonts w:ascii="標楷體" w:eastAsia="標楷體" w:hAnsi="標楷體" w:hint="eastAsia"/>
          <w:sz w:val="28"/>
          <w:szCs w:val="28"/>
        </w:rPr>
        <w:t>都市計畫檢討，</w:t>
      </w:r>
      <w:r w:rsidR="001A5A7C" w:rsidRPr="00F26CB7">
        <w:rPr>
          <w:rFonts w:ascii="標楷體" w:eastAsia="標楷體" w:hAnsi="標楷體" w:hint="eastAsia"/>
          <w:sz w:val="28"/>
          <w:szCs w:val="28"/>
        </w:rPr>
        <w:t>至105年</w:t>
      </w:r>
      <w:r w:rsidR="00BB5341" w:rsidRPr="00F26CB7">
        <w:rPr>
          <w:rFonts w:ascii="標楷體" w:eastAsia="標楷體" w:hAnsi="標楷體" w:hint="eastAsia"/>
          <w:sz w:val="28"/>
          <w:szCs w:val="28"/>
        </w:rPr>
        <w:t>審議結果</w:t>
      </w:r>
      <w:r w:rsidR="00A1723E" w:rsidRPr="00F26CB7">
        <w:rPr>
          <w:rFonts w:ascii="標楷體" w:eastAsia="標楷體" w:hAnsi="標楷體" w:hint="eastAsia"/>
          <w:sz w:val="28"/>
          <w:szCs w:val="28"/>
        </w:rPr>
        <w:t>附帶決議市府仍應掌握原計畫發展本地區為副都心之精神，</w:t>
      </w:r>
      <w:r w:rsidR="00BB5341" w:rsidRPr="00F26CB7">
        <w:rPr>
          <w:rFonts w:ascii="標楷體" w:eastAsia="標楷體" w:hAnsi="標楷體" w:hint="eastAsia"/>
          <w:sz w:val="28"/>
          <w:szCs w:val="28"/>
        </w:rPr>
        <w:t>維持「商業區」、「娛樂區」之土地使用項目均不允許作住宅使用。</w:t>
      </w:r>
    </w:p>
    <w:p w:rsidR="00BB5341" w:rsidRPr="00F26CB7" w:rsidRDefault="00BB5341" w:rsidP="00C0649E">
      <w:pPr>
        <w:pStyle w:val="a4"/>
        <w:numPr>
          <w:ilvl w:val="0"/>
          <w:numId w:val="2"/>
        </w:numPr>
        <w:spacing w:beforeLines="50" w:before="180" w:afterLines="50" w:after="180" w:line="540" w:lineRule="exact"/>
        <w:ind w:leftChars="0" w:left="573" w:hanging="573"/>
        <w:jc w:val="both"/>
        <w:rPr>
          <w:rFonts w:ascii="標楷體" w:eastAsia="標楷體" w:hAnsi="標楷體"/>
          <w:sz w:val="28"/>
          <w:szCs w:val="28"/>
        </w:rPr>
      </w:pPr>
      <w:r w:rsidRPr="00F26CB7">
        <w:rPr>
          <w:rFonts w:ascii="標楷體" w:eastAsia="標楷體" w:hAnsi="標楷體" w:hint="eastAsia"/>
          <w:sz w:val="28"/>
          <w:szCs w:val="28"/>
        </w:rPr>
        <w:t>為妥善處理大彎北段商業區、娛樂區</w:t>
      </w:r>
      <w:r w:rsidR="001A5A7C" w:rsidRPr="00F26CB7">
        <w:rPr>
          <w:rFonts w:ascii="標楷體" w:eastAsia="標楷體" w:hAnsi="標楷體" w:hint="eastAsia"/>
          <w:sz w:val="28"/>
          <w:szCs w:val="28"/>
        </w:rPr>
        <w:t>違規</w:t>
      </w:r>
      <w:r w:rsidRPr="00F26CB7">
        <w:rPr>
          <w:rFonts w:ascii="標楷體" w:eastAsia="標楷體" w:hAnsi="標楷體" w:hint="eastAsia"/>
          <w:sz w:val="28"/>
          <w:szCs w:val="28"/>
        </w:rPr>
        <w:t>作住宅使用</w:t>
      </w:r>
      <w:r w:rsidR="001A5A7C" w:rsidRPr="00F26CB7">
        <w:rPr>
          <w:rFonts w:ascii="標楷體" w:eastAsia="標楷體" w:hAnsi="標楷體" w:hint="eastAsia"/>
          <w:sz w:val="28"/>
          <w:szCs w:val="28"/>
        </w:rPr>
        <w:t>情形，本府已研訂</w:t>
      </w:r>
      <w:r w:rsidRPr="00F26CB7">
        <w:rPr>
          <w:rFonts w:ascii="標楷體" w:eastAsia="標楷體" w:hAnsi="標楷體" w:hint="eastAsia"/>
          <w:sz w:val="28"/>
          <w:szCs w:val="28"/>
        </w:rPr>
        <w:t>裁處作業原則</w:t>
      </w:r>
      <w:r w:rsidR="001A5A7C" w:rsidRPr="00F26CB7">
        <w:rPr>
          <w:rFonts w:ascii="標楷體" w:eastAsia="標楷體" w:hAnsi="標楷體" w:hint="eastAsia"/>
          <w:sz w:val="28"/>
          <w:szCs w:val="28"/>
        </w:rPr>
        <w:t>。執行則</w:t>
      </w:r>
      <w:r w:rsidRPr="00F26CB7">
        <w:rPr>
          <w:rFonts w:ascii="標楷體" w:eastAsia="標楷體" w:hAnsi="標楷體" w:hint="eastAsia"/>
          <w:sz w:val="28"/>
          <w:szCs w:val="28"/>
        </w:rPr>
        <w:t>以</w:t>
      </w:r>
      <w:r w:rsidR="001A5A7C" w:rsidRPr="00F26CB7">
        <w:rPr>
          <w:rFonts w:ascii="標楷體" w:eastAsia="標楷體" w:hAnsi="標楷體" w:hint="eastAsia"/>
          <w:sz w:val="28"/>
          <w:szCs w:val="28"/>
        </w:rPr>
        <w:t>柔性勸導為主、裁罰為輔，促請</w:t>
      </w:r>
      <w:r w:rsidR="0043799B" w:rsidRPr="00F26CB7">
        <w:rPr>
          <w:rFonts w:ascii="標楷體" w:eastAsia="標楷體" w:hAnsi="標楷體" w:hint="eastAsia"/>
          <w:sz w:val="28"/>
          <w:szCs w:val="28"/>
        </w:rPr>
        <w:t>違規建物依都市計畫規定</w:t>
      </w:r>
      <w:r w:rsidRPr="00F26CB7">
        <w:rPr>
          <w:rFonts w:ascii="標楷體" w:eastAsia="標楷體" w:hAnsi="標楷體" w:hint="eastAsia"/>
          <w:sz w:val="28"/>
          <w:szCs w:val="28"/>
        </w:rPr>
        <w:t>改</w:t>
      </w:r>
      <w:r w:rsidR="001A5A7C" w:rsidRPr="00F26CB7">
        <w:rPr>
          <w:rFonts w:ascii="標楷體" w:eastAsia="標楷體" w:hAnsi="標楷體" w:hint="eastAsia"/>
          <w:sz w:val="28"/>
          <w:szCs w:val="28"/>
        </w:rPr>
        <w:t>善</w:t>
      </w:r>
      <w:r w:rsidRPr="00F26CB7">
        <w:rPr>
          <w:rFonts w:ascii="標楷體" w:eastAsia="標楷體" w:hAnsi="標楷體" w:hint="eastAsia"/>
          <w:sz w:val="28"/>
          <w:szCs w:val="28"/>
        </w:rPr>
        <w:t>為商業使用。</w:t>
      </w:r>
    </w:p>
    <w:p w:rsidR="00BB5341" w:rsidRPr="00F26CB7" w:rsidRDefault="00EF2ABF" w:rsidP="00C0649E">
      <w:pPr>
        <w:pStyle w:val="a4"/>
        <w:numPr>
          <w:ilvl w:val="0"/>
          <w:numId w:val="2"/>
        </w:numPr>
        <w:spacing w:beforeLines="50" w:before="180" w:afterLines="50" w:after="180" w:line="540" w:lineRule="exact"/>
        <w:ind w:leftChars="0" w:left="573" w:hanging="573"/>
        <w:rPr>
          <w:rFonts w:ascii="標楷體" w:eastAsia="標楷體" w:hAnsi="標楷體"/>
          <w:sz w:val="28"/>
          <w:szCs w:val="28"/>
        </w:rPr>
      </w:pPr>
      <w:r w:rsidRPr="00F26CB7">
        <w:rPr>
          <w:rFonts w:ascii="標楷體" w:eastAsia="標楷體" w:hAnsi="標楷體" w:hint="eastAsia"/>
          <w:sz w:val="28"/>
          <w:szCs w:val="28"/>
        </w:rPr>
        <w:t>為有效遏止違規住宅使用之情形，</w:t>
      </w:r>
      <w:r w:rsidR="001A5A7C" w:rsidRPr="00F26CB7">
        <w:rPr>
          <w:rFonts w:ascii="標楷體" w:eastAsia="標楷體" w:hAnsi="標楷體" w:hint="eastAsia"/>
          <w:sz w:val="28"/>
          <w:szCs w:val="28"/>
        </w:rPr>
        <w:t>倘經本府查獲違規作住宅使用，將</w:t>
      </w:r>
      <w:r w:rsidRPr="00F26CB7">
        <w:rPr>
          <w:rFonts w:ascii="標楷體" w:eastAsia="標楷體" w:hAnsi="標楷體" w:hint="eastAsia"/>
          <w:sz w:val="28"/>
          <w:szCs w:val="28"/>
        </w:rPr>
        <w:t>依</w:t>
      </w:r>
      <w:r w:rsidR="001A5A7C" w:rsidRPr="00F26CB7">
        <w:rPr>
          <w:rFonts w:ascii="標楷體" w:eastAsia="標楷體" w:hAnsi="標楷體" w:hint="eastAsia"/>
          <w:sz w:val="28"/>
          <w:szCs w:val="28"/>
        </w:rPr>
        <w:t>不同</w:t>
      </w:r>
      <w:r w:rsidRPr="00F26CB7">
        <w:rPr>
          <w:rFonts w:ascii="標楷體" w:eastAsia="標楷體" w:hAnsi="標楷體" w:hint="eastAsia"/>
          <w:sz w:val="28"/>
          <w:szCs w:val="28"/>
        </w:rPr>
        <w:t>面積</w:t>
      </w:r>
      <w:r w:rsidR="001A5A7C" w:rsidRPr="00F26CB7">
        <w:rPr>
          <w:rFonts w:ascii="標楷體" w:eastAsia="標楷體" w:hAnsi="標楷體" w:hint="eastAsia"/>
          <w:sz w:val="28"/>
          <w:szCs w:val="28"/>
        </w:rPr>
        <w:t>，對建物所有權人採三階段之裁罰處理。</w:t>
      </w:r>
      <w:r w:rsidRPr="00F26CB7">
        <w:rPr>
          <w:rFonts w:ascii="標楷體" w:eastAsia="標楷體" w:hAnsi="標楷體" w:hint="eastAsia"/>
          <w:sz w:val="28"/>
          <w:szCs w:val="28"/>
        </w:rPr>
        <w:t>裁罰基準如下表：</w:t>
      </w:r>
    </w:p>
    <w:tbl>
      <w:tblPr>
        <w:tblStyle w:val="a3"/>
        <w:tblW w:w="4482" w:type="pct"/>
        <w:tblInd w:w="675" w:type="dxa"/>
        <w:tblLook w:val="04A0" w:firstRow="1" w:lastRow="0" w:firstColumn="1" w:lastColumn="0" w:noHBand="0" w:noVBand="1"/>
      </w:tblPr>
      <w:tblGrid>
        <w:gridCol w:w="1068"/>
        <w:gridCol w:w="1572"/>
        <w:gridCol w:w="1572"/>
        <w:gridCol w:w="1573"/>
        <w:gridCol w:w="1572"/>
        <w:gridCol w:w="1573"/>
      </w:tblGrid>
      <w:tr w:rsidR="00F26CB7" w:rsidRPr="00FB097F" w:rsidTr="00F26CB7">
        <w:tc>
          <w:tcPr>
            <w:tcW w:w="598" w:type="pct"/>
          </w:tcPr>
          <w:p w:rsidR="00FB097F" w:rsidRPr="00FB097F" w:rsidRDefault="00FB097F">
            <w:pPr>
              <w:rPr>
                <w:rFonts w:ascii="標楷體" w:eastAsia="標楷體" w:hAnsi="標楷體"/>
                <w:sz w:val="22"/>
              </w:rPr>
            </w:pPr>
          </w:p>
        </w:tc>
        <w:tc>
          <w:tcPr>
            <w:tcW w:w="880" w:type="pct"/>
            <w:vAlign w:val="center"/>
          </w:tcPr>
          <w:p w:rsidR="00FB097F" w:rsidRPr="00FB097F" w:rsidRDefault="00FB097F" w:rsidP="00626229">
            <w:pPr>
              <w:jc w:val="center"/>
              <w:rPr>
                <w:rFonts w:ascii="標楷體" w:eastAsia="標楷體" w:hAnsi="標楷體"/>
                <w:b/>
                <w:bCs/>
                <w:sz w:val="22"/>
              </w:rPr>
            </w:pPr>
            <w:r w:rsidRPr="00FB097F">
              <w:rPr>
                <w:rFonts w:ascii="標楷體" w:eastAsia="標楷體" w:hAnsi="標楷體" w:hint="eastAsia"/>
                <w:b/>
                <w:bCs/>
                <w:sz w:val="22"/>
              </w:rPr>
              <w:t>級距1</w:t>
            </w:r>
          </w:p>
          <w:p w:rsidR="00FB097F" w:rsidRPr="00FB097F" w:rsidRDefault="00FB097F" w:rsidP="00626229">
            <w:pPr>
              <w:jc w:val="center"/>
              <w:rPr>
                <w:rFonts w:ascii="標楷體" w:eastAsia="標楷體" w:hAnsi="標楷體"/>
                <w:b/>
                <w:bCs/>
                <w:sz w:val="20"/>
              </w:rPr>
            </w:pPr>
            <w:r w:rsidRPr="00FB097F">
              <w:rPr>
                <w:rFonts w:ascii="標楷體" w:eastAsia="標楷體" w:hAnsi="標楷體" w:hint="eastAsia"/>
                <w:b/>
                <w:bCs/>
                <w:sz w:val="20"/>
              </w:rPr>
              <w:t>(15坪以下)</w:t>
            </w:r>
          </w:p>
        </w:tc>
        <w:tc>
          <w:tcPr>
            <w:tcW w:w="880" w:type="pct"/>
            <w:vAlign w:val="center"/>
          </w:tcPr>
          <w:p w:rsidR="00FB097F" w:rsidRPr="00FB097F" w:rsidRDefault="00FB097F" w:rsidP="00626229">
            <w:pPr>
              <w:jc w:val="center"/>
              <w:rPr>
                <w:rFonts w:ascii="標楷體" w:eastAsia="標楷體" w:hAnsi="標楷體"/>
                <w:sz w:val="22"/>
              </w:rPr>
            </w:pPr>
            <w:r w:rsidRPr="00FB097F">
              <w:rPr>
                <w:rFonts w:ascii="標楷體" w:eastAsia="標楷體" w:hAnsi="標楷體" w:hint="eastAsia"/>
                <w:b/>
                <w:bCs/>
                <w:sz w:val="22"/>
              </w:rPr>
              <w:t>級距2</w:t>
            </w:r>
          </w:p>
          <w:p w:rsidR="00FB097F" w:rsidRPr="00FB097F" w:rsidRDefault="00FB097F" w:rsidP="00626229">
            <w:pPr>
              <w:jc w:val="center"/>
              <w:rPr>
                <w:rFonts w:ascii="標楷體" w:eastAsia="標楷體" w:hAnsi="標楷體"/>
                <w:sz w:val="22"/>
              </w:rPr>
            </w:pPr>
            <w:r w:rsidRPr="00FB097F">
              <w:rPr>
                <w:rFonts w:ascii="標楷體" w:eastAsia="標楷體" w:hAnsi="標楷體" w:hint="eastAsia"/>
                <w:b/>
                <w:bCs/>
                <w:sz w:val="20"/>
              </w:rPr>
              <w:t>(15坪至30坪)</w:t>
            </w:r>
          </w:p>
        </w:tc>
        <w:tc>
          <w:tcPr>
            <w:tcW w:w="881" w:type="pct"/>
            <w:vAlign w:val="center"/>
          </w:tcPr>
          <w:p w:rsidR="00FB097F" w:rsidRPr="00FB097F" w:rsidRDefault="00FB097F" w:rsidP="00626229">
            <w:pPr>
              <w:jc w:val="center"/>
              <w:rPr>
                <w:rFonts w:ascii="標楷體" w:eastAsia="標楷體" w:hAnsi="標楷體"/>
                <w:sz w:val="22"/>
              </w:rPr>
            </w:pPr>
            <w:r w:rsidRPr="00FB097F">
              <w:rPr>
                <w:rFonts w:ascii="標楷體" w:eastAsia="標楷體" w:hAnsi="標楷體" w:hint="eastAsia"/>
                <w:b/>
                <w:bCs/>
                <w:sz w:val="22"/>
              </w:rPr>
              <w:t>級距3</w:t>
            </w:r>
          </w:p>
          <w:p w:rsidR="00FB097F" w:rsidRPr="00FB097F" w:rsidRDefault="00FB097F" w:rsidP="00626229">
            <w:pPr>
              <w:jc w:val="center"/>
              <w:rPr>
                <w:rFonts w:ascii="標楷體" w:eastAsia="標楷體" w:hAnsi="標楷體"/>
                <w:sz w:val="22"/>
              </w:rPr>
            </w:pPr>
            <w:r w:rsidRPr="00FB097F">
              <w:rPr>
                <w:rFonts w:ascii="標楷體" w:eastAsia="標楷體" w:hAnsi="標楷體" w:hint="eastAsia"/>
                <w:b/>
                <w:bCs/>
                <w:sz w:val="20"/>
              </w:rPr>
              <w:t>(30坪至50坪)</w:t>
            </w:r>
          </w:p>
        </w:tc>
        <w:tc>
          <w:tcPr>
            <w:tcW w:w="880" w:type="pct"/>
            <w:vAlign w:val="center"/>
          </w:tcPr>
          <w:p w:rsidR="00FB097F" w:rsidRPr="00FB097F" w:rsidRDefault="00FB097F" w:rsidP="00626229">
            <w:pPr>
              <w:jc w:val="center"/>
              <w:rPr>
                <w:rFonts w:ascii="標楷體" w:eastAsia="標楷體" w:hAnsi="標楷體"/>
                <w:sz w:val="22"/>
              </w:rPr>
            </w:pPr>
            <w:r w:rsidRPr="00FB097F">
              <w:rPr>
                <w:rFonts w:ascii="標楷體" w:eastAsia="標楷體" w:hAnsi="標楷體" w:hint="eastAsia"/>
                <w:b/>
                <w:bCs/>
                <w:sz w:val="22"/>
              </w:rPr>
              <w:t>級距4</w:t>
            </w:r>
          </w:p>
          <w:p w:rsidR="00FB097F" w:rsidRPr="00FB097F" w:rsidRDefault="00FB097F" w:rsidP="00626229">
            <w:pPr>
              <w:jc w:val="center"/>
              <w:rPr>
                <w:rFonts w:ascii="標楷體" w:eastAsia="標楷體" w:hAnsi="標楷體"/>
                <w:sz w:val="22"/>
              </w:rPr>
            </w:pPr>
            <w:r w:rsidRPr="00FB097F">
              <w:rPr>
                <w:rFonts w:ascii="標楷體" w:eastAsia="標楷體" w:hAnsi="標楷體" w:hint="eastAsia"/>
                <w:b/>
                <w:bCs/>
                <w:sz w:val="20"/>
              </w:rPr>
              <w:t>(50坪至70坪)</w:t>
            </w:r>
          </w:p>
        </w:tc>
        <w:tc>
          <w:tcPr>
            <w:tcW w:w="881" w:type="pct"/>
            <w:vAlign w:val="center"/>
          </w:tcPr>
          <w:p w:rsidR="00FB097F" w:rsidRPr="00FB097F" w:rsidRDefault="00FB097F" w:rsidP="00626229">
            <w:pPr>
              <w:jc w:val="center"/>
              <w:rPr>
                <w:rFonts w:ascii="標楷體" w:eastAsia="標楷體" w:hAnsi="標楷體"/>
                <w:sz w:val="22"/>
              </w:rPr>
            </w:pPr>
            <w:r w:rsidRPr="00FB097F">
              <w:rPr>
                <w:rFonts w:ascii="標楷體" w:eastAsia="標楷體" w:hAnsi="標楷體" w:hint="eastAsia"/>
                <w:b/>
                <w:bCs/>
                <w:sz w:val="22"/>
              </w:rPr>
              <w:t>級距5</w:t>
            </w:r>
          </w:p>
          <w:p w:rsidR="00FB097F" w:rsidRPr="00FB097F" w:rsidRDefault="00FB097F" w:rsidP="00626229">
            <w:pPr>
              <w:jc w:val="center"/>
              <w:rPr>
                <w:rFonts w:ascii="標楷體" w:eastAsia="標楷體" w:hAnsi="標楷體"/>
                <w:sz w:val="22"/>
              </w:rPr>
            </w:pPr>
            <w:r w:rsidRPr="00FB097F">
              <w:rPr>
                <w:rFonts w:ascii="標楷體" w:eastAsia="標楷體" w:hAnsi="標楷體" w:hint="eastAsia"/>
                <w:b/>
                <w:bCs/>
                <w:sz w:val="20"/>
              </w:rPr>
              <w:t>(70坪以上)</w:t>
            </w:r>
          </w:p>
        </w:tc>
      </w:tr>
      <w:tr w:rsidR="00F26CB7" w:rsidRPr="00FB097F" w:rsidTr="00C0649E">
        <w:trPr>
          <w:trHeight w:val="269"/>
        </w:trPr>
        <w:tc>
          <w:tcPr>
            <w:tcW w:w="598" w:type="pct"/>
            <w:vAlign w:val="center"/>
          </w:tcPr>
          <w:p w:rsidR="00626229" w:rsidRPr="0043799B" w:rsidRDefault="00626229" w:rsidP="00FB097F">
            <w:pPr>
              <w:jc w:val="center"/>
              <w:rPr>
                <w:rFonts w:ascii="標楷體" w:eastAsia="標楷體" w:hAnsi="標楷體"/>
                <w:sz w:val="20"/>
              </w:rPr>
            </w:pPr>
            <w:r w:rsidRPr="0043799B">
              <w:rPr>
                <w:rFonts w:ascii="標楷體" w:eastAsia="標楷體" w:hAnsi="標楷體" w:hint="eastAsia"/>
                <w:b/>
                <w:bCs/>
                <w:sz w:val="20"/>
              </w:rPr>
              <w:t>第一階段</w:t>
            </w:r>
          </w:p>
        </w:tc>
        <w:tc>
          <w:tcPr>
            <w:tcW w:w="880" w:type="pct"/>
            <w:vAlign w:val="center"/>
          </w:tcPr>
          <w:p w:rsidR="00626229" w:rsidRPr="0094654A" w:rsidRDefault="00626229" w:rsidP="00626229">
            <w:pPr>
              <w:jc w:val="center"/>
              <w:rPr>
                <w:rFonts w:ascii="標楷體" w:eastAsia="標楷體" w:hAnsi="標楷體"/>
                <w:szCs w:val="24"/>
              </w:rPr>
            </w:pPr>
            <w:r w:rsidRPr="0094654A">
              <w:rPr>
                <w:rFonts w:ascii="標楷體" w:eastAsia="標楷體" w:hAnsi="標楷體" w:hint="eastAsia"/>
                <w:szCs w:val="24"/>
              </w:rPr>
              <w:t>6萬</w:t>
            </w:r>
          </w:p>
        </w:tc>
        <w:tc>
          <w:tcPr>
            <w:tcW w:w="880" w:type="pct"/>
            <w:vAlign w:val="center"/>
          </w:tcPr>
          <w:p w:rsidR="00626229" w:rsidRPr="0094654A" w:rsidRDefault="00626229" w:rsidP="00626229">
            <w:pPr>
              <w:jc w:val="center"/>
              <w:rPr>
                <w:rFonts w:ascii="標楷體" w:eastAsia="標楷體" w:hAnsi="標楷體"/>
                <w:szCs w:val="24"/>
              </w:rPr>
            </w:pPr>
            <w:r w:rsidRPr="0094654A">
              <w:rPr>
                <w:rFonts w:ascii="標楷體" w:eastAsia="標楷體" w:hAnsi="標楷體" w:hint="eastAsia"/>
                <w:szCs w:val="24"/>
              </w:rPr>
              <w:t>6萬</w:t>
            </w:r>
          </w:p>
        </w:tc>
        <w:tc>
          <w:tcPr>
            <w:tcW w:w="881" w:type="pct"/>
            <w:vAlign w:val="center"/>
          </w:tcPr>
          <w:p w:rsidR="00626229" w:rsidRPr="0094654A" w:rsidRDefault="00626229" w:rsidP="00626229">
            <w:pPr>
              <w:jc w:val="center"/>
              <w:rPr>
                <w:rFonts w:ascii="標楷體" w:eastAsia="標楷體" w:hAnsi="標楷體"/>
                <w:szCs w:val="24"/>
              </w:rPr>
            </w:pPr>
            <w:r w:rsidRPr="0094654A">
              <w:rPr>
                <w:rFonts w:ascii="標楷體" w:eastAsia="標楷體" w:hAnsi="標楷體" w:hint="eastAsia"/>
                <w:szCs w:val="24"/>
              </w:rPr>
              <w:t>10萬</w:t>
            </w:r>
          </w:p>
        </w:tc>
        <w:tc>
          <w:tcPr>
            <w:tcW w:w="880" w:type="pct"/>
            <w:vAlign w:val="center"/>
          </w:tcPr>
          <w:p w:rsidR="00626229" w:rsidRPr="0094654A" w:rsidRDefault="00626229" w:rsidP="00626229">
            <w:pPr>
              <w:jc w:val="center"/>
              <w:rPr>
                <w:rFonts w:ascii="標楷體" w:eastAsia="標楷體" w:hAnsi="標楷體"/>
                <w:szCs w:val="24"/>
              </w:rPr>
            </w:pPr>
            <w:r w:rsidRPr="0094654A">
              <w:rPr>
                <w:rFonts w:ascii="標楷體" w:eastAsia="標楷體" w:hAnsi="標楷體" w:hint="eastAsia"/>
                <w:szCs w:val="24"/>
              </w:rPr>
              <w:t>15萬</w:t>
            </w:r>
          </w:p>
        </w:tc>
        <w:tc>
          <w:tcPr>
            <w:tcW w:w="881" w:type="pct"/>
            <w:vAlign w:val="center"/>
          </w:tcPr>
          <w:p w:rsidR="00626229" w:rsidRPr="0094654A" w:rsidRDefault="00626229" w:rsidP="00626229">
            <w:pPr>
              <w:jc w:val="center"/>
              <w:rPr>
                <w:rFonts w:ascii="標楷體" w:eastAsia="標楷體" w:hAnsi="標楷體"/>
                <w:szCs w:val="24"/>
              </w:rPr>
            </w:pPr>
            <w:r w:rsidRPr="0094654A">
              <w:rPr>
                <w:rFonts w:ascii="標楷體" w:eastAsia="標楷體" w:hAnsi="標楷體" w:hint="eastAsia"/>
                <w:szCs w:val="24"/>
              </w:rPr>
              <w:t>20萬</w:t>
            </w:r>
          </w:p>
        </w:tc>
      </w:tr>
      <w:tr w:rsidR="00F26CB7" w:rsidRPr="00FB097F" w:rsidTr="00C0649E">
        <w:trPr>
          <w:trHeight w:val="175"/>
        </w:trPr>
        <w:tc>
          <w:tcPr>
            <w:tcW w:w="598" w:type="pct"/>
            <w:vAlign w:val="center"/>
          </w:tcPr>
          <w:p w:rsidR="00626229" w:rsidRPr="0043799B" w:rsidRDefault="00626229" w:rsidP="00FB097F">
            <w:pPr>
              <w:jc w:val="center"/>
              <w:rPr>
                <w:rFonts w:ascii="標楷體" w:eastAsia="標楷體" w:hAnsi="標楷體"/>
                <w:sz w:val="20"/>
              </w:rPr>
            </w:pPr>
            <w:r w:rsidRPr="0043799B">
              <w:rPr>
                <w:rFonts w:ascii="標楷體" w:eastAsia="標楷體" w:hAnsi="標楷體" w:hint="eastAsia"/>
                <w:b/>
                <w:bCs/>
                <w:sz w:val="20"/>
              </w:rPr>
              <w:t>第二階段</w:t>
            </w:r>
          </w:p>
        </w:tc>
        <w:tc>
          <w:tcPr>
            <w:tcW w:w="880" w:type="pct"/>
            <w:vAlign w:val="center"/>
          </w:tcPr>
          <w:p w:rsidR="00626229" w:rsidRPr="0094654A" w:rsidRDefault="00626229" w:rsidP="00626229">
            <w:pPr>
              <w:jc w:val="center"/>
              <w:rPr>
                <w:rFonts w:ascii="標楷體" w:eastAsia="標楷體" w:hAnsi="標楷體"/>
                <w:szCs w:val="24"/>
              </w:rPr>
            </w:pPr>
            <w:r w:rsidRPr="0094654A">
              <w:rPr>
                <w:rFonts w:ascii="標楷體" w:eastAsia="標楷體" w:hAnsi="標楷體" w:hint="eastAsia"/>
                <w:szCs w:val="24"/>
              </w:rPr>
              <w:t>6萬</w:t>
            </w:r>
          </w:p>
        </w:tc>
        <w:tc>
          <w:tcPr>
            <w:tcW w:w="880" w:type="pct"/>
            <w:vAlign w:val="center"/>
          </w:tcPr>
          <w:p w:rsidR="00626229" w:rsidRPr="0094654A" w:rsidRDefault="00626229" w:rsidP="00626229">
            <w:pPr>
              <w:jc w:val="center"/>
              <w:rPr>
                <w:rFonts w:ascii="標楷體" w:eastAsia="標楷體" w:hAnsi="標楷體"/>
                <w:szCs w:val="24"/>
              </w:rPr>
            </w:pPr>
            <w:r w:rsidRPr="0094654A">
              <w:rPr>
                <w:rFonts w:ascii="標楷體" w:eastAsia="標楷體" w:hAnsi="標楷體" w:hint="eastAsia"/>
                <w:szCs w:val="24"/>
              </w:rPr>
              <w:t>8萬</w:t>
            </w:r>
          </w:p>
        </w:tc>
        <w:tc>
          <w:tcPr>
            <w:tcW w:w="881" w:type="pct"/>
            <w:vAlign w:val="center"/>
          </w:tcPr>
          <w:p w:rsidR="00626229" w:rsidRPr="0094654A" w:rsidRDefault="00626229" w:rsidP="00626229">
            <w:pPr>
              <w:jc w:val="center"/>
              <w:rPr>
                <w:rFonts w:ascii="標楷體" w:eastAsia="標楷體" w:hAnsi="標楷體"/>
                <w:szCs w:val="24"/>
              </w:rPr>
            </w:pPr>
            <w:r w:rsidRPr="0094654A">
              <w:rPr>
                <w:rFonts w:ascii="標楷體" w:eastAsia="標楷體" w:hAnsi="標楷體" w:hint="eastAsia"/>
                <w:szCs w:val="24"/>
              </w:rPr>
              <w:t>15萬</w:t>
            </w:r>
          </w:p>
        </w:tc>
        <w:tc>
          <w:tcPr>
            <w:tcW w:w="880" w:type="pct"/>
            <w:vAlign w:val="center"/>
          </w:tcPr>
          <w:p w:rsidR="00626229" w:rsidRPr="0094654A" w:rsidRDefault="00626229" w:rsidP="00626229">
            <w:pPr>
              <w:jc w:val="center"/>
              <w:rPr>
                <w:rFonts w:ascii="標楷體" w:eastAsia="標楷體" w:hAnsi="標楷體"/>
                <w:szCs w:val="24"/>
              </w:rPr>
            </w:pPr>
            <w:r w:rsidRPr="0094654A">
              <w:rPr>
                <w:rFonts w:ascii="標楷體" w:eastAsia="標楷體" w:hAnsi="標楷體" w:hint="eastAsia"/>
                <w:szCs w:val="24"/>
              </w:rPr>
              <w:t>25萬</w:t>
            </w:r>
          </w:p>
        </w:tc>
        <w:tc>
          <w:tcPr>
            <w:tcW w:w="881" w:type="pct"/>
            <w:vAlign w:val="center"/>
          </w:tcPr>
          <w:p w:rsidR="00626229" w:rsidRPr="0094654A" w:rsidRDefault="00626229" w:rsidP="00626229">
            <w:pPr>
              <w:jc w:val="center"/>
              <w:rPr>
                <w:rFonts w:ascii="標楷體" w:eastAsia="標楷體" w:hAnsi="標楷體"/>
                <w:szCs w:val="24"/>
              </w:rPr>
            </w:pPr>
            <w:r w:rsidRPr="0094654A">
              <w:rPr>
                <w:rFonts w:ascii="標楷體" w:eastAsia="標楷體" w:hAnsi="標楷體" w:hint="eastAsia"/>
                <w:szCs w:val="24"/>
              </w:rPr>
              <w:t>30萬</w:t>
            </w:r>
          </w:p>
        </w:tc>
      </w:tr>
      <w:tr w:rsidR="00626229" w:rsidRPr="00FB097F" w:rsidTr="00C0649E">
        <w:trPr>
          <w:trHeight w:val="379"/>
        </w:trPr>
        <w:tc>
          <w:tcPr>
            <w:tcW w:w="598" w:type="pct"/>
            <w:vAlign w:val="center"/>
          </w:tcPr>
          <w:p w:rsidR="00626229" w:rsidRPr="0043799B" w:rsidRDefault="00626229" w:rsidP="00FB097F">
            <w:pPr>
              <w:jc w:val="center"/>
              <w:rPr>
                <w:rFonts w:ascii="標楷體" w:eastAsia="標楷體" w:hAnsi="標楷體"/>
                <w:sz w:val="20"/>
              </w:rPr>
            </w:pPr>
            <w:r w:rsidRPr="0043799B">
              <w:rPr>
                <w:rFonts w:ascii="標楷體" w:eastAsia="標楷體" w:hAnsi="標楷體" w:hint="eastAsia"/>
                <w:b/>
                <w:bCs/>
                <w:sz w:val="20"/>
              </w:rPr>
              <w:t>第三階段</w:t>
            </w:r>
          </w:p>
        </w:tc>
        <w:tc>
          <w:tcPr>
            <w:tcW w:w="4402" w:type="pct"/>
            <w:gridSpan w:val="5"/>
          </w:tcPr>
          <w:p w:rsidR="00626229" w:rsidRPr="0094654A" w:rsidRDefault="00626229" w:rsidP="0043799B">
            <w:pPr>
              <w:rPr>
                <w:rFonts w:ascii="標楷體" w:eastAsia="標楷體" w:hAnsi="標楷體"/>
                <w:szCs w:val="24"/>
              </w:rPr>
            </w:pPr>
            <w:r w:rsidRPr="0094654A">
              <w:rPr>
                <w:rFonts w:ascii="標楷體" w:eastAsia="標楷體" w:hAnsi="標楷體" w:hint="eastAsia"/>
                <w:szCs w:val="24"/>
              </w:rPr>
              <w:t>裁處以第1、2階段為主，倘違規情節重大者，得處30萬元罰鍰及停止供水、供電。</w:t>
            </w:r>
          </w:p>
        </w:tc>
      </w:tr>
    </w:tbl>
    <w:p w:rsidR="004E0440" w:rsidRDefault="004E0440" w:rsidP="004E0440">
      <w:pPr>
        <w:pStyle w:val="a4"/>
        <w:spacing w:beforeLines="50" w:before="180" w:afterLines="50" w:after="180" w:line="460" w:lineRule="exact"/>
        <w:ind w:leftChars="0" w:left="482"/>
        <w:rPr>
          <w:rFonts w:ascii="標楷體" w:eastAsia="標楷體" w:hAnsi="標楷體"/>
          <w:sz w:val="28"/>
          <w:szCs w:val="28"/>
        </w:rPr>
      </w:pPr>
    </w:p>
    <w:p w:rsidR="004E0440" w:rsidRDefault="004E0440" w:rsidP="004E0440">
      <w:pPr>
        <w:pStyle w:val="a4"/>
        <w:spacing w:beforeLines="50" w:before="180" w:afterLines="50" w:after="180" w:line="460" w:lineRule="exact"/>
        <w:ind w:leftChars="0" w:left="482"/>
        <w:rPr>
          <w:rFonts w:ascii="標楷體" w:eastAsia="標楷體" w:hAnsi="標楷體"/>
          <w:sz w:val="28"/>
          <w:szCs w:val="28"/>
        </w:rPr>
      </w:pPr>
    </w:p>
    <w:p w:rsidR="004E0440" w:rsidRDefault="004E0440" w:rsidP="004E0440">
      <w:pPr>
        <w:pStyle w:val="a4"/>
        <w:spacing w:beforeLines="50" w:before="180" w:afterLines="50" w:after="180" w:line="460" w:lineRule="exact"/>
        <w:ind w:leftChars="0" w:left="482"/>
        <w:rPr>
          <w:rFonts w:ascii="標楷體" w:eastAsia="標楷體" w:hAnsi="標楷體"/>
          <w:sz w:val="28"/>
          <w:szCs w:val="28"/>
        </w:rPr>
      </w:pPr>
    </w:p>
    <w:p w:rsidR="00985CE0" w:rsidRDefault="00C44E89" w:rsidP="00C0649E">
      <w:pPr>
        <w:pStyle w:val="a4"/>
        <w:numPr>
          <w:ilvl w:val="0"/>
          <w:numId w:val="2"/>
        </w:numPr>
        <w:spacing w:beforeLines="50" w:before="180" w:afterLines="50" w:after="180" w:line="460" w:lineRule="exact"/>
        <w:ind w:leftChars="0" w:left="482" w:hanging="482"/>
        <w:rPr>
          <w:rFonts w:ascii="標楷體" w:eastAsia="標楷體" w:hAnsi="標楷體"/>
          <w:sz w:val="28"/>
          <w:szCs w:val="28"/>
        </w:rPr>
      </w:pPr>
      <w:r>
        <w:rPr>
          <w:rFonts w:ascii="標楷體" w:eastAsia="標楷體" w:hAnsi="標楷體" w:hint="eastAsia"/>
          <w:sz w:val="28"/>
          <w:szCs w:val="28"/>
        </w:rPr>
        <w:lastRenderedPageBreak/>
        <w:t>執行順序與原則說明</w:t>
      </w:r>
    </w:p>
    <w:p w:rsidR="003A702C" w:rsidRPr="00C44E89" w:rsidRDefault="00E36955" w:rsidP="00C0649E">
      <w:pPr>
        <w:pStyle w:val="a4"/>
        <w:numPr>
          <w:ilvl w:val="0"/>
          <w:numId w:val="11"/>
        </w:numPr>
        <w:spacing w:line="500" w:lineRule="exact"/>
        <w:ind w:leftChars="0" w:hanging="76"/>
        <w:rPr>
          <w:rFonts w:ascii="標楷體" w:eastAsia="標楷體" w:hAnsi="標楷體"/>
          <w:sz w:val="28"/>
          <w:szCs w:val="28"/>
        </w:rPr>
      </w:pPr>
      <w:r w:rsidRPr="00C44E89">
        <w:rPr>
          <w:rFonts w:ascii="標楷體" w:eastAsia="標楷體" w:hAnsi="標楷體" w:hint="eastAsia"/>
          <w:sz w:val="28"/>
          <w:szCs w:val="28"/>
        </w:rPr>
        <w:t>104年11案及</w:t>
      </w:r>
      <w:r w:rsidR="004D3178" w:rsidRPr="00C44E89">
        <w:rPr>
          <w:rFonts w:ascii="標楷體" w:eastAsia="標楷體" w:hAnsi="標楷體" w:hint="eastAsia"/>
          <w:sz w:val="28"/>
          <w:szCs w:val="28"/>
        </w:rPr>
        <w:t>所有權人於大彎北段地區擁有3戶以上之案件優先處理。</w:t>
      </w:r>
    </w:p>
    <w:p w:rsidR="003A702C" w:rsidRPr="00C44E89" w:rsidRDefault="004D3178" w:rsidP="00C0649E">
      <w:pPr>
        <w:pStyle w:val="a4"/>
        <w:numPr>
          <w:ilvl w:val="0"/>
          <w:numId w:val="11"/>
        </w:numPr>
        <w:spacing w:afterLines="50" w:after="180" w:line="500" w:lineRule="exact"/>
        <w:ind w:leftChars="0" w:left="358" w:hanging="74"/>
        <w:rPr>
          <w:rFonts w:ascii="標楷體" w:eastAsia="標楷體" w:hAnsi="標楷體"/>
          <w:sz w:val="28"/>
          <w:szCs w:val="28"/>
        </w:rPr>
      </w:pPr>
      <w:r w:rsidRPr="00C44E89">
        <w:rPr>
          <w:rFonts w:ascii="標楷體" w:eastAsia="標楷體" w:hAnsi="標楷體" w:hint="eastAsia"/>
          <w:sz w:val="28"/>
          <w:szCs w:val="28"/>
        </w:rPr>
        <w:t>依據使照領得年期排序</w:t>
      </w:r>
      <w:r w:rsidR="00C44E89">
        <w:rPr>
          <w:rFonts w:ascii="標楷體" w:eastAsia="標楷體" w:hAnsi="標楷體" w:hint="eastAsia"/>
          <w:sz w:val="28"/>
          <w:szCs w:val="28"/>
        </w:rPr>
        <w:t>。</w:t>
      </w:r>
    </w:p>
    <w:tbl>
      <w:tblPr>
        <w:tblStyle w:val="a3"/>
        <w:tblW w:w="0" w:type="auto"/>
        <w:tblInd w:w="482" w:type="dxa"/>
        <w:tblLook w:val="04A0" w:firstRow="1" w:lastRow="0" w:firstColumn="1" w:lastColumn="0" w:noHBand="0" w:noVBand="1"/>
      </w:tblPr>
      <w:tblGrid>
        <w:gridCol w:w="1186"/>
        <w:gridCol w:w="2268"/>
        <w:gridCol w:w="1842"/>
        <w:gridCol w:w="1985"/>
        <w:gridCol w:w="1843"/>
      </w:tblGrid>
      <w:tr w:rsidR="00C140AB" w:rsidTr="004E0440">
        <w:tc>
          <w:tcPr>
            <w:tcW w:w="1186" w:type="dxa"/>
            <w:vAlign w:val="center"/>
          </w:tcPr>
          <w:p w:rsidR="00985CE0" w:rsidRPr="00C44E89" w:rsidRDefault="00C44E89" w:rsidP="00E36955">
            <w:pPr>
              <w:jc w:val="center"/>
              <w:rPr>
                <w:rFonts w:ascii="標楷體" w:eastAsia="標楷體" w:hAnsi="標楷體"/>
              </w:rPr>
            </w:pPr>
            <w:r w:rsidRPr="00C44E89">
              <w:rPr>
                <w:rFonts w:ascii="標楷體" w:eastAsia="標楷體" w:hAnsi="標楷體" w:hint="eastAsia"/>
              </w:rPr>
              <w:t>處理批次</w:t>
            </w:r>
          </w:p>
        </w:tc>
        <w:tc>
          <w:tcPr>
            <w:tcW w:w="2268" w:type="dxa"/>
            <w:vAlign w:val="center"/>
          </w:tcPr>
          <w:p w:rsidR="00985CE0" w:rsidRPr="00C44E89" w:rsidRDefault="00C44E89" w:rsidP="00E36955">
            <w:pPr>
              <w:jc w:val="center"/>
              <w:rPr>
                <w:rFonts w:ascii="標楷體" w:eastAsia="標楷體" w:hAnsi="標楷體"/>
              </w:rPr>
            </w:pPr>
            <w:r w:rsidRPr="00C44E89">
              <w:rPr>
                <w:rFonts w:ascii="標楷體" w:eastAsia="標楷體" w:hAnsi="標楷體" w:hint="eastAsia"/>
              </w:rPr>
              <w:t>一</w:t>
            </w:r>
          </w:p>
        </w:tc>
        <w:tc>
          <w:tcPr>
            <w:tcW w:w="1842" w:type="dxa"/>
            <w:vAlign w:val="center"/>
          </w:tcPr>
          <w:p w:rsidR="00985CE0" w:rsidRPr="00C44E89" w:rsidRDefault="00C44E89" w:rsidP="00E36955">
            <w:pPr>
              <w:jc w:val="center"/>
              <w:rPr>
                <w:rFonts w:ascii="標楷體" w:eastAsia="標楷體" w:hAnsi="標楷體"/>
              </w:rPr>
            </w:pPr>
            <w:r w:rsidRPr="00C44E89">
              <w:rPr>
                <w:rFonts w:ascii="標楷體" w:eastAsia="標楷體" w:hAnsi="標楷體" w:hint="eastAsia"/>
              </w:rPr>
              <w:t>二</w:t>
            </w:r>
          </w:p>
        </w:tc>
        <w:tc>
          <w:tcPr>
            <w:tcW w:w="1985" w:type="dxa"/>
            <w:vAlign w:val="center"/>
          </w:tcPr>
          <w:p w:rsidR="00985CE0" w:rsidRPr="00C44E89" w:rsidRDefault="00C44E89" w:rsidP="00E36955">
            <w:pPr>
              <w:jc w:val="center"/>
              <w:rPr>
                <w:rFonts w:ascii="標楷體" w:eastAsia="標楷體" w:hAnsi="標楷體"/>
              </w:rPr>
            </w:pPr>
            <w:r w:rsidRPr="00C44E89">
              <w:rPr>
                <w:rFonts w:ascii="標楷體" w:eastAsia="標楷體" w:hAnsi="標楷體" w:hint="eastAsia"/>
              </w:rPr>
              <w:t>三</w:t>
            </w:r>
          </w:p>
        </w:tc>
        <w:tc>
          <w:tcPr>
            <w:tcW w:w="1843" w:type="dxa"/>
            <w:vAlign w:val="center"/>
          </w:tcPr>
          <w:p w:rsidR="00985CE0" w:rsidRPr="00C44E89" w:rsidRDefault="00C44E89" w:rsidP="00E36955">
            <w:pPr>
              <w:jc w:val="center"/>
              <w:rPr>
                <w:rFonts w:ascii="標楷體" w:eastAsia="標楷體" w:hAnsi="標楷體"/>
              </w:rPr>
            </w:pPr>
            <w:r w:rsidRPr="00C44E89">
              <w:rPr>
                <w:rFonts w:ascii="標楷體" w:eastAsia="標楷體" w:hAnsi="標楷體" w:hint="eastAsia"/>
              </w:rPr>
              <w:t>四</w:t>
            </w:r>
          </w:p>
        </w:tc>
      </w:tr>
      <w:tr w:rsidR="00C140AB" w:rsidTr="004E0440">
        <w:tc>
          <w:tcPr>
            <w:tcW w:w="1186" w:type="dxa"/>
            <w:vAlign w:val="center"/>
          </w:tcPr>
          <w:p w:rsidR="00985CE0" w:rsidRDefault="00C44E89" w:rsidP="00E36955">
            <w:pPr>
              <w:jc w:val="center"/>
              <w:rPr>
                <w:rFonts w:ascii="標楷體" w:eastAsia="標楷體" w:hAnsi="標楷體"/>
              </w:rPr>
            </w:pPr>
            <w:r w:rsidRPr="00C44E89">
              <w:rPr>
                <w:rFonts w:ascii="標楷體" w:eastAsia="標楷體" w:hAnsi="標楷體" w:hint="eastAsia"/>
              </w:rPr>
              <w:t>執行對象</w:t>
            </w:r>
          </w:p>
          <w:p w:rsidR="00C140AB" w:rsidRPr="00C44E89" w:rsidRDefault="00C140AB" w:rsidP="00E36955">
            <w:pPr>
              <w:jc w:val="center"/>
              <w:rPr>
                <w:rFonts w:ascii="標楷體" w:eastAsia="標楷體" w:hAnsi="標楷體"/>
              </w:rPr>
            </w:pPr>
            <w:r w:rsidRPr="00C140AB">
              <w:rPr>
                <w:rFonts w:ascii="標楷體" w:eastAsia="標楷體" w:hAnsi="標楷體" w:hint="eastAsia"/>
                <w:sz w:val="18"/>
              </w:rPr>
              <w:t>(使照年度)</w:t>
            </w:r>
          </w:p>
        </w:tc>
        <w:tc>
          <w:tcPr>
            <w:tcW w:w="2268" w:type="dxa"/>
          </w:tcPr>
          <w:p w:rsidR="00985CE0" w:rsidRPr="00C44E89" w:rsidRDefault="00C140AB" w:rsidP="00C44E89">
            <w:pPr>
              <w:pStyle w:val="a4"/>
              <w:numPr>
                <w:ilvl w:val="0"/>
                <w:numId w:val="13"/>
              </w:numPr>
              <w:ind w:leftChars="0"/>
              <w:rPr>
                <w:rFonts w:ascii="標楷體" w:eastAsia="標楷體" w:hAnsi="標楷體"/>
              </w:rPr>
            </w:pPr>
            <w:r>
              <w:rPr>
                <w:rFonts w:ascii="標楷體" w:eastAsia="標楷體" w:hAnsi="標楷體" w:hint="eastAsia"/>
              </w:rPr>
              <w:t>104年使照</w:t>
            </w:r>
          </w:p>
          <w:p w:rsidR="00C44E89" w:rsidRPr="00C44E89" w:rsidRDefault="00C44E89" w:rsidP="00C44E89">
            <w:pPr>
              <w:pStyle w:val="a4"/>
              <w:numPr>
                <w:ilvl w:val="0"/>
                <w:numId w:val="13"/>
              </w:numPr>
              <w:ind w:leftChars="0"/>
              <w:rPr>
                <w:rFonts w:ascii="標楷體" w:eastAsia="標楷體" w:hAnsi="標楷體"/>
              </w:rPr>
            </w:pPr>
            <w:r w:rsidRPr="00C44E89">
              <w:rPr>
                <w:rFonts w:ascii="標楷體" w:eastAsia="標楷體" w:hAnsi="標楷體" w:hint="eastAsia"/>
              </w:rPr>
              <w:t>持有三戶以上者</w:t>
            </w:r>
          </w:p>
          <w:p w:rsidR="00C44E89" w:rsidRPr="00C44E89" w:rsidRDefault="00C44E89" w:rsidP="00C140AB">
            <w:pPr>
              <w:pStyle w:val="a4"/>
              <w:numPr>
                <w:ilvl w:val="0"/>
                <w:numId w:val="13"/>
              </w:numPr>
              <w:ind w:leftChars="0"/>
              <w:rPr>
                <w:rFonts w:ascii="標楷體" w:eastAsia="標楷體" w:hAnsi="標楷體"/>
              </w:rPr>
            </w:pPr>
            <w:r w:rsidRPr="00C44E89">
              <w:rPr>
                <w:rFonts w:ascii="標楷體" w:eastAsia="標楷體" w:hAnsi="標楷體" w:hint="eastAsia"/>
              </w:rPr>
              <w:t>90、92年使照</w:t>
            </w:r>
          </w:p>
        </w:tc>
        <w:tc>
          <w:tcPr>
            <w:tcW w:w="1842" w:type="dxa"/>
          </w:tcPr>
          <w:p w:rsidR="00985CE0" w:rsidRPr="00C44E89" w:rsidRDefault="00C44E89" w:rsidP="00AE44CB">
            <w:pPr>
              <w:rPr>
                <w:rFonts w:ascii="標楷體" w:eastAsia="標楷體" w:hAnsi="標楷體"/>
              </w:rPr>
            </w:pPr>
            <w:r w:rsidRPr="00C44E89">
              <w:rPr>
                <w:rFonts w:ascii="標楷體" w:eastAsia="標楷體" w:hAnsi="標楷體" w:hint="eastAsia"/>
              </w:rPr>
              <w:t>9</w:t>
            </w:r>
            <w:r w:rsidR="00C140AB">
              <w:rPr>
                <w:rFonts w:ascii="標楷體" w:eastAsia="標楷體" w:hAnsi="標楷體" w:hint="eastAsia"/>
              </w:rPr>
              <w:t>3-96年</w:t>
            </w:r>
            <w:r w:rsidR="00AE44CB">
              <w:rPr>
                <w:rFonts w:ascii="標楷體" w:eastAsia="標楷體" w:hAnsi="標楷體" w:hint="eastAsia"/>
              </w:rPr>
              <w:t>(上半年)</w:t>
            </w:r>
            <w:r w:rsidR="00C140AB">
              <w:rPr>
                <w:rFonts w:ascii="標楷體" w:eastAsia="標楷體" w:hAnsi="標楷體" w:hint="eastAsia"/>
              </w:rPr>
              <w:t>使照</w:t>
            </w:r>
          </w:p>
        </w:tc>
        <w:tc>
          <w:tcPr>
            <w:tcW w:w="1985" w:type="dxa"/>
          </w:tcPr>
          <w:p w:rsidR="00985CE0" w:rsidRPr="00C44E89" w:rsidRDefault="00C44E89" w:rsidP="000B4C72">
            <w:pPr>
              <w:rPr>
                <w:rFonts w:ascii="標楷體" w:eastAsia="標楷體" w:hAnsi="標楷體"/>
              </w:rPr>
            </w:pPr>
            <w:r w:rsidRPr="00C44E89">
              <w:rPr>
                <w:rFonts w:ascii="標楷體" w:eastAsia="標楷體" w:hAnsi="標楷體" w:hint="eastAsia"/>
              </w:rPr>
              <w:t>9</w:t>
            </w:r>
            <w:r w:rsidR="00C140AB">
              <w:rPr>
                <w:rFonts w:ascii="標楷體" w:eastAsia="標楷體" w:hAnsi="標楷體" w:hint="eastAsia"/>
              </w:rPr>
              <w:t>6</w:t>
            </w:r>
            <w:r w:rsidR="00AE44CB">
              <w:rPr>
                <w:rFonts w:ascii="標楷體" w:eastAsia="標楷體" w:hAnsi="標楷體" w:hint="eastAsia"/>
              </w:rPr>
              <w:t>(下半年)</w:t>
            </w:r>
            <w:r w:rsidR="00C140AB">
              <w:rPr>
                <w:rFonts w:ascii="標楷體" w:eastAsia="標楷體" w:hAnsi="標楷體" w:hint="eastAsia"/>
              </w:rPr>
              <w:t>-97年</w:t>
            </w:r>
            <w:r w:rsidR="00AE44CB">
              <w:rPr>
                <w:rFonts w:ascii="標楷體" w:eastAsia="標楷體" w:hAnsi="標楷體" w:hint="eastAsia"/>
              </w:rPr>
              <w:t>(上半年)</w:t>
            </w:r>
            <w:bookmarkStart w:id="0" w:name="_GoBack"/>
            <w:bookmarkEnd w:id="0"/>
            <w:r w:rsidR="00C140AB">
              <w:rPr>
                <w:rFonts w:ascii="標楷體" w:eastAsia="標楷體" w:hAnsi="標楷體" w:hint="eastAsia"/>
              </w:rPr>
              <w:t>使照</w:t>
            </w:r>
          </w:p>
        </w:tc>
        <w:tc>
          <w:tcPr>
            <w:tcW w:w="1843" w:type="dxa"/>
          </w:tcPr>
          <w:p w:rsidR="00135D66" w:rsidRDefault="00C44E89" w:rsidP="00C44E89">
            <w:pPr>
              <w:rPr>
                <w:rFonts w:ascii="標楷體" w:eastAsia="標楷體" w:hAnsi="標楷體" w:hint="eastAsia"/>
              </w:rPr>
            </w:pPr>
            <w:r w:rsidRPr="00C44E89">
              <w:rPr>
                <w:rFonts w:ascii="標楷體" w:eastAsia="標楷體" w:hAnsi="標楷體" w:hint="eastAsia"/>
              </w:rPr>
              <w:t>9</w:t>
            </w:r>
            <w:r w:rsidR="00C140AB">
              <w:rPr>
                <w:rFonts w:ascii="標楷體" w:eastAsia="標楷體" w:hAnsi="標楷體" w:hint="eastAsia"/>
              </w:rPr>
              <w:t>7</w:t>
            </w:r>
            <w:r w:rsidR="00AE44CB">
              <w:rPr>
                <w:rFonts w:ascii="標楷體" w:eastAsia="標楷體" w:hAnsi="標楷體" w:hint="eastAsia"/>
              </w:rPr>
              <w:t>(下半年)</w:t>
            </w:r>
          </w:p>
          <w:p w:rsidR="00985CE0" w:rsidRPr="00C44E89" w:rsidRDefault="00C140AB" w:rsidP="00C44E89">
            <w:pPr>
              <w:rPr>
                <w:rFonts w:ascii="標楷體" w:eastAsia="標楷體" w:hAnsi="標楷體"/>
              </w:rPr>
            </w:pPr>
            <w:r>
              <w:rPr>
                <w:rFonts w:ascii="標楷體" w:eastAsia="標楷體" w:hAnsi="標楷體" w:hint="eastAsia"/>
              </w:rPr>
              <w:t>-100年使照</w:t>
            </w:r>
          </w:p>
        </w:tc>
      </w:tr>
      <w:tr w:rsidR="00C140AB" w:rsidTr="004E0440">
        <w:tc>
          <w:tcPr>
            <w:tcW w:w="1186" w:type="dxa"/>
            <w:vAlign w:val="center"/>
          </w:tcPr>
          <w:p w:rsidR="00985CE0" w:rsidRPr="00C44E89" w:rsidRDefault="00C44E89" w:rsidP="00E36955">
            <w:pPr>
              <w:jc w:val="center"/>
              <w:rPr>
                <w:rFonts w:ascii="標楷體" w:eastAsia="標楷體" w:hAnsi="標楷體"/>
              </w:rPr>
            </w:pPr>
            <w:r w:rsidRPr="00C44E89">
              <w:rPr>
                <w:rFonts w:ascii="標楷體" w:eastAsia="標楷體" w:hAnsi="標楷體" w:hint="eastAsia"/>
              </w:rPr>
              <w:t>辦理時間</w:t>
            </w:r>
          </w:p>
        </w:tc>
        <w:tc>
          <w:tcPr>
            <w:tcW w:w="2268" w:type="dxa"/>
          </w:tcPr>
          <w:p w:rsidR="00985CE0" w:rsidRPr="00C44E89" w:rsidRDefault="00C140AB" w:rsidP="00C44E89">
            <w:pPr>
              <w:rPr>
                <w:rFonts w:ascii="標楷體" w:eastAsia="標楷體" w:hAnsi="標楷體"/>
              </w:rPr>
            </w:pPr>
            <w:r>
              <w:rPr>
                <w:rFonts w:ascii="標楷體" w:eastAsia="標楷體" w:hAnsi="標楷體" w:hint="eastAsia"/>
              </w:rPr>
              <w:t>106年12月</w:t>
            </w:r>
          </w:p>
        </w:tc>
        <w:tc>
          <w:tcPr>
            <w:tcW w:w="1842" w:type="dxa"/>
          </w:tcPr>
          <w:p w:rsidR="00985CE0" w:rsidRPr="00C44E89" w:rsidRDefault="00C140AB" w:rsidP="00C44E89">
            <w:pPr>
              <w:rPr>
                <w:rFonts w:ascii="標楷體" w:eastAsia="標楷體" w:hAnsi="標楷體"/>
              </w:rPr>
            </w:pPr>
            <w:r>
              <w:rPr>
                <w:rFonts w:ascii="標楷體" w:eastAsia="標楷體" w:hAnsi="標楷體" w:hint="eastAsia"/>
              </w:rPr>
              <w:t>107年3月</w:t>
            </w:r>
          </w:p>
        </w:tc>
        <w:tc>
          <w:tcPr>
            <w:tcW w:w="1985" w:type="dxa"/>
          </w:tcPr>
          <w:p w:rsidR="00985CE0" w:rsidRPr="00C44E89" w:rsidRDefault="00C140AB" w:rsidP="00C44E89">
            <w:pPr>
              <w:rPr>
                <w:rFonts w:ascii="標楷體" w:eastAsia="標楷體" w:hAnsi="標楷體"/>
              </w:rPr>
            </w:pPr>
            <w:r>
              <w:rPr>
                <w:rFonts w:ascii="標楷體" w:eastAsia="標楷體" w:hAnsi="標楷體" w:hint="eastAsia"/>
              </w:rPr>
              <w:t>107年6月</w:t>
            </w:r>
          </w:p>
        </w:tc>
        <w:tc>
          <w:tcPr>
            <w:tcW w:w="1843" w:type="dxa"/>
          </w:tcPr>
          <w:p w:rsidR="00985CE0" w:rsidRPr="00C44E89" w:rsidRDefault="00C140AB" w:rsidP="00C44E89">
            <w:pPr>
              <w:rPr>
                <w:rFonts w:ascii="標楷體" w:eastAsia="標楷體" w:hAnsi="標楷體"/>
              </w:rPr>
            </w:pPr>
            <w:r>
              <w:rPr>
                <w:rFonts w:ascii="標楷體" w:eastAsia="標楷體" w:hAnsi="標楷體" w:hint="eastAsia"/>
              </w:rPr>
              <w:t>107年9月</w:t>
            </w:r>
          </w:p>
        </w:tc>
      </w:tr>
    </w:tbl>
    <w:p w:rsidR="00BB5341" w:rsidRDefault="007805B2" w:rsidP="00C0649E">
      <w:pPr>
        <w:pStyle w:val="a4"/>
        <w:numPr>
          <w:ilvl w:val="0"/>
          <w:numId w:val="2"/>
        </w:numPr>
        <w:spacing w:beforeLines="120" w:before="432" w:line="460" w:lineRule="exact"/>
        <w:ind w:leftChars="0" w:left="482" w:hanging="482"/>
        <w:rPr>
          <w:rFonts w:ascii="標楷體" w:eastAsia="標楷體" w:hAnsi="標楷體"/>
          <w:sz w:val="28"/>
          <w:szCs w:val="28"/>
        </w:rPr>
      </w:pPr>
      <w:r w:rsidRPr="007805B2">
        <w:rPr>
          <w:rFonts w:ascii="標楷體" w:eastAsia="標楷體" w:hAnsi="標楷體" w:hint="eastAsia"/>
          <w:sz w:val="28"/>
          <w:szCs w:val="28"/>
        </w:rPr>
        <w:t>本府處理方式及相關配套：</w:t>
      </w:r>
    </w:p>
    <w:p w:rsidR="007805B2" w:rsidRDefault="007805B2" w:rsidP="003F0EA4">
      <w:pPr>
        <w:spacing w:beforeLines="50" w:before="180" w:afterLines="50" w:after="180" w:line="500" w:lineRule="exact"/>
        <w:ind w:leftChars="235" w:left="564" w:firstLine="567"/>
        <w:rPr>
          <w:rFonts w:ascii="標楷體" w:eastAsia="標楷體" w:hAnsi="標楷體"/>
          <w:sz w:val="28"/>
          <w:szCs w:val="28"/>
        </w:rPr>
      </w:pPr>
      <w:r>
        <w:rPr>
          <w:rFonts w:ascii="標楷體" w:eastAsia="標楷體" w:hAnsi="標楷體" w:hint="eastAsia"/>
          <w:sz w:val="28"/>
          <w:szCs w:val="28"/>
        </w:rPr>
        <w:t>府內各單位將以通力合作的方式積極處理，期從本案開始改變過往各單位之本位主義處理模式，並消除外界對於府內有「分工不合作」情形之疑慮。並通過</w:t>
      </w:r>
      <w:r w:rsidRPr="0092105C">
        <w:rPr>
          <w:rFonts w:ascii="標楷體" w:eastAsia="標楷體" w:hAnsi="標楷體" w:hint="eastAsia"/>
          <w:b/>
          <w:sz w:val="28"/>
          <w:szCs w:val="28"/>
        </w:rPr>
        <w:t>源頭控管</w:t>
      </w:r>
      <w:r>
        <w:rPr>
          <w:rFonts w:ascii="標楷體" w:eastAsia="標楷體" w:hAnsi="標楷體" w:hint="eastAsia"/>
          <w:sz w:val="28"/>
          <w:szCs w:val="28"/>
        </w:rPr>
        <w:t>、</w:t>
      </w:r>
      <w:r w:rsidRPr="0092105C">
        <w:rPr>
          <w:rFonts w:ascii="標楷體" w:eastAsia="標楷體" w:hAnsi="標楷體" w:hint="eastAsia"/>
          <w:b/>
          <w:sz w:val="28"/>
          <w:szCs w:val="28"/>
        </w:rPr>
        <w:t>勸導防範</w:t>
      </w:r>
      <w:r>
        <w:rPr>
          <w:rFonts w:ascii="標楷體" w:eastAsia="標楷體" w:hAnsi="標楷體" w:hint="eastAsia"/>
          <w:sz w:val="28"/>
          <w:szCs w:val="28"/>
        </w:rPr>
        <w:t>、</w:t>
      </w:r>
      <w:r w:rsidRPr="0092105C">
        <w:rPr>
          <w:rFonts w:ascii="標楷體" w:eastAsia="標楷體" w:hAnsi="標楷體" w:hint="eastAsia"/>
          <w:b/>
          <w:sz w:val="28"/>
          <w:szCs w:val="28"/>
        </w:rPr>
        <w:t>府內一體</w:t>
      </w:r>
      <w:r>
        <w:rPr>
          <w:rFonts w:ascii="標楷體" w:eastAsia="標楷體" w:hAnsi="標楷體" w:hint="eastAsia"/>
          <w:sz w:val="28"/>
          <w:szCs w:val="28"/>
        </w:rPr>
        <w:t>妥善處理</w:t>
      </w:r>
      <w:proofErr w:type="gramStart"/>
      <w:r>
        <w:rPr>
          <w:rFonts w:ascii="標楷體" w:eastAsia="標楷體" w:hAnsi="標楷體" w:hint="eastAsia"/>
          <w:sz w:val="28"/>
          <w:szCs w:val="28"/>
        </w:rPr>
        <w:t>大彎北段</w:t>
      </w:r>
      <w:proofErr w:type="gramEnd"/>
      <w:r>
        <w:rPr>
          <w:rFonts w:ascii="標楷體" w:eastAsia="標楷體" w:hAnsi="標楷體" w:hint="eastAsia"/>
          <w:sz w:val="28"/>
          <w:szCs w:val="28"/>
        </w:rPr>
        <w:t>違規住宅。</w:t>
      </w:r>
    </w:p>
    <w:p w:rsidR="007805B2" w:rsidRPr="005D37D4" w:rsidRDefault="007805B2" w:rsidP="00052F2F">
      <w:pPr>
        <w:pStyle w:val="a4"/>
        <w:numPr>
          <w:ilvl w:val="0"/>
          <w:numId w:val="9"/>
        </w:numPr>
        <w:spacing w:beforeLines="50" w:before="180" w:afterLines="50" w:after="180" w:line="500" w:lineRule="exact"/>
        <w:ind w:leftChars="0" w:hanging="54"/>
        <w:jc w:val="both"/>
        <w:rPr>
          <w:rFonts w:ascii="標楷體" w:eastAsia="標楷體" w:hAnsi="標楷體"/>
          <w:b/>
          <w:sz w:val="28"/>
          <w:szCs w:val="28"/>
        </w:rPr>
      </w:pPr>
      <w:r>
        <w:rPr>
          <w:rFonts w:ascii="標楷體" w:eastAsia="標楷體" w:hAnsi="標楷體" w:hint="eastAsia"/>
          <w:b/>
          <w:sz w:val="28"/>
          <w:szCs w:val="28"/>
        </w:rPr>
        <w:t>違規案件</w:t>
      </w:r>
      <w:r w:rsidRPr="005D37D4">
        <w:rPr>
          <w:rFonts w:ascii="標楷體" w:eastAsia="標楷體" w:hAnsi="標楷體" w:hint="eastAsia"/>
          <w:b/>
          <w:sz w:val="28"/>
          <w:szCs w:val="28"/>
        </w:rPr>
        <w:t>執行說明</w:t>
      </w:r>
      <w:r w:rsidRPr="005D37D4">
        <w:rPr>
          <w:rFonts w:ascii="標楷體" w:eastAsia="標楷體" w:hAnsi="標楷體" w:hint="eastAsia"/>
          <w:sz w:val="28"/>
          <w:szCs w:val="28"/>
        </w:rPr>
        <w:t>（勸導為主、裁罰為輔）</w:t>
      </w:r>
      <w:r w:rsidRPr="005D37D4">
        <w:rPr>
          <w:rFonts w:ascii="標楷體" w:eastAsia="標楷體" w:hAnsi="標楷體" w:hint="eastAsia"/>
          <w:b/>
          <w:sz w:val="28"/>
          <w:szCs w:val="28"/>
        </w:rPr>
        <w:t>：</w:t>
      </w:r>
    </w:p>
    <w:p w:rsidR="007805B2" w:rsidRDefault="007805B2" w:rsidP="00545135">
      <w:pPr>
        <w:pStyle w:val="a4"/>
        <w:numPr>
          <w:ilvl w:val="0"/>
          <w:numId w:val="6"/>
        </w:numPr>
        <w:spacing w:line="500" w:lineRule="exact"/>
        <w:ind w:leftChars="0" w:left="1134" w:hanging="425"/>
        <w:rPr>
          <w:rFonts w:ascii="標楷體" w:eastAsia="標楷體" w:hAnsi="標楷體"/>
          <w:sz w:val="28"/>
          <w:szCs w:val="28"/>
        </w:rPr>
      </w:pPr>
      <w:r>
        <w:rPr>
          <w:rFonts w:ascii="標楷體" w:eastAsia="標楷體" w:hAnsi="標楷體" w:hint="eastAsia"/>
          <w:sz w:val="28"/>
          <w:szCs w:val="28"/>
        </w:rPr>
        <w:t>認定依據：</w:t>
      </w:r>
      <w:r w:rsidR="00545135" w:rsidRPr="00545135">
        <w:rPr>
          <w:rFonts w:ascii="標楷體" w:eastAsia="標楷體" w:hAnsi="標楷體" w:hint="eastAsia"/>
          <w:sz w:val="28"/>
          <w:szCs w:val="28"/>
        </w:rPr>
        <w:t>房屋所有人向</w:t>
      </w:r>
      <w:r w:rsidR="00545135" w:rsidRPr="00545135">
        <w:rPr>
          <w:rFonts w:ascii="標楷體" w:eastAsia="標楷體" w:hAnsi="標楷體" w:hint="eastAsia"/>
          <w:b/>
          <w:sz w:val="28"/>
          <w:szCs w:val="28"/>
        </w:rPr>
        <w:t>本市稅捐處</w:t>
      </w:r>
      <w:r w:rsidR="00545135" w:rsidRPr="00545135">
        <w:rPr>
          <w:rFonts w:ascii="標楷體" w:eastAsia="標楷體" w:hAnsi="標楷體" w:hint="eastAsia"/>
          <w:sz w:val="28"/>
          <w:szCs w:val="28"/>
        </w:rPr>
        <w:t>申報作住家使用，並經</w:t>
      </w:r>
      <w:proofErr w:type="gramStart"/>
      <w:r w:rsidR="00545135" w:rsidRPr="00545135">
        <w:rPr>
          <w:rFonts w:ascii="標楷體" w:eastAsia="標楷體" w:hAnsi="標楷體" w:hint="eastAsia"/>
          <w:sz w:val="28"/>
          <w:szCs w:val="28"/>
        </w:rPr>
        <w:t>該處課徵</w:t>
      </w:r>
      <w:proofErr w:type="gramEnd"/>
      <w:r w:rsidR="00545135" w:rsidRPr="00545135">
        <w:rPr>
          <w:rFonts w:ascii="標楷體" w:eastAsia="標楷體" w:hAnsi="標楷體" w:hint="eastAsia"/>
          <w:sz w:val="28"/>
          <w:szCs w:val="28"/>
        </w:rPr>
        <w:t>住家稅率，且經本府都發局行政指導後，亦未主動變更使用情形，故違規作住宅使用堪稱明確。</w:t>
      </w:r>
    </w:p>
    <w:p w:rsidR="007805B2" w:rsidRDefault="007805B2" w:rsidP="004E0440">
      <w:pPr>
        <w:pStyle w:val="a4"/>
        <w:numPr>
          <w:ilvl w:val="0"/>
          <w:numId w:val="6"/>
        </w:numPr>
        <w:spacing w:line="500" w:lineRule="exact"/>
        <w:ind w:leftChars="0" w:left="1134" w:hanging="425"/>
        <w:rPr>
          <w:rFonts w:ascii="標楷體" w:eastAsia="標楷體" w:hAnsi="標楷體"/>
          <w:sz w:val="28"/>
          <w:szCs w:val="28"/>
        </w:rPr>
      </w:pPr>
      <w:r>
        <w:rPr>
          <w:rFonts w:ascii="標楷體" w:eastAsia="標楷體" w:hAnsi="標楷體" w:hint="eastAsia"/>
          <w:sz w:val="28"/>
          <w:szCs w:val="28"/>
        </w:rPr>
        <w:t>柔性勸導：針對課徵住家用稅率之建物，本局將藉由行政指導、召開說明會、領</w:t>
      </w:r>
      <w:proofErr w:type="gramStart"/>
      <w:r>
        <w:rPr>
          <w:rFonts w:ascii="標楷體" w:eastAsia="標楷體" w:hAnsi="標楷體" w:hint="eastAsia"/>
          <w:sz w:val="28"/>
          <w:szCs w:val="28"/>
        </w:rPr>
        <w:t>勘</w:t>
      </w:r>
      <w:proofErr w:type="gramEnd"/>
      <w:r>
        <w:rPr>
          <w:rFonts w:ascii="標楷體" w:eastAsia="標楷體" w:hAnsi="標楷體" w:hint="eastAsia"/>
          <w:sz w:val="28"/>
          <w:szCs w:val="28"/>
        </w:rPr>
        <w:t>通知、函所有權人陳述意見等行政措施，勸導所有權人改善，</w:t>
      </w:r>
      <w:proofErr w:type="gramStart"/>
      <w:r>
        <w:rPr>
          <w:rFonts w:ascii="標楷體" w:eastAsia="標楷體" w:hAnsi="標楷體" w:hint="eastAsia"/>
          <w:sz w:val="28"/>
          <w:szCs w:val="28"/>
        </w:rPr>
        <w:t>隨後倘經本</w:t>
      </w:r>
      <w:proofErr w:type="gramEnd"/>
      <w:r>
        <w:rPr>
          <w:rFonts w:ascii="標楷體" w:eastAsia="標楷體" w:hAnsi="標楷體" w:hint="eastAsia"/>
          <w:sz w:val="28"/>
          <w:szCs w:val="28"/>
        </w:rPr>
        <w:t>局</w:t>
      </w:r>
      <w:r w:rsidRPr="0092105C">
        <w:rPr>
          <w:rFonts w:ascii="標楷體" w:eastAsia="標楷體" w:hAnsi="標楷體" w:hint="eastAsia"/>
          <w:b/>
          <w:sz w:val="28"/>
          <w:szCs w:val="28"/>
        </w:rPr>
        <w:t>勘查為住家使用</w:t>
      </w:r>
      <w:r>
        <w:rPr>
          <w:rFonts w:ascii="標楷體" w:eastAsia="標楷體" w:hAnsi="標楷體" w:hint="eastAsia"/>
          <w:sz w:val="28"/>
          <w:szCs w:val="28"/>
        </w:rPr>
        <w:t>，或</w:t>
      </w:r>
      <w:r w:rsidRPr="000E5D5D">
        <w:rPr>
          <w:rFonts w:ascii="標楷體" w:eastAsia="標楷體" w:hAnsi="標楷體" w:hint="eastAsia"/>
          <w:b/>
          <w:sz w:val="28"/>
          <w:szCs w:val="28"/>
        </w:rPr>
        <w:t>拒不開門且</w:t>
      </w:r>
      <w:r w:rsidRPr="0092105C">
        <w:rPr>
          <w:rFonts w:ascii="標楷體" w:eastAsia="標楷體" w:hAnsi="標楷體" w:hint="eastAsia"/>
          <w:b/>
          <w:sz w:val="28"/>
          <w:szCs w:val="28"/>
        </w:rPr>
        <w:t>無法提供改善證明</w:t>
      </w:r>
      <w:r>
        <w:rPr>
          <w:rFonts w:ascii="標楷體" w:eastAsia="標楷體" w:hAnsi="標楷體" w:hint="eastAsia"/>
          <w:sz w:val="28"/>
          <w:szCs w:val="28"/>
        </w:rPr>
        <w:t>，本局將依都市計畫</w:t>
      </w:r>
      <w:proofErr w:type="gramStart"/>
      <w:r>
        <w:rPr>
          <w:rFonts w:ascii="標楷體" w:eastAsia="標楷體" w:hAnsi="標楷體" w:hint="eastAsia"/>
          <w:sz w:val="28"/>
          <w:szCs w:val="28"/>
        </w:rPr>
        <w:t>法開罰</w:t>
      </w:r>
      <w:proofErr w:type="gramEnd"/>
      <w:r>
        <w:rPr>
          <w:rFonts w:ascii="標楷體" w:eastAsia="標楷體" w:hAnsi="標楷體" w:hint="eastAsia"/>
          <w:sz w:val="28"/>
          <w:szCs w:val="28"/>
        </w:rPr>
        <w:t>。</w:t>
      </w:r>
    </w:p>
    <w:p w:rsidR="007805B2" w:rsidRPr="00C0649E" w:rsidRDefault="007805B2" w:rsidP="004E0440">
      <w:pPr>
        <w:pStyle w:val="a4"/>
        <w:numPr>
          <w:ilvl w:val="0"/>
          <w:numId w:val="6"/>
        </w:numPr>
        <w:spacing w:line="500" w:lineRule="exact"/>
        <w:ind w:leftChars="0" w:left="1134" w:rightChars="-24" w:right="-58" w:hanging="425"/>
        <w:rPr>
          <w:rFonts w:ascii="標楷體" w:eastAsia="標楷體" w:hAnsi="標楷體"/>
          <w:sz w:val="28"/>
          <w:szCs w:val="28"/>
        </w:rPr>
      </w:pPr>
      <w:r>
        <w:rPr>
          <w:rFonts w:ascii="標楷體" w:eastAsia="標楷體" w:hAnsi="標楷體" w:hint="eastAsia"/>
          <w:sz w:val="28"/>
          <w:szCs w:val="28"/>
        </w:rPr>
        <w:t>結案方式：倘建物確實已改善為商業使用，且辦妥商業登記或空置並經權利關係人提出申請</w:t>
      </w:r>
      <w:proofErr w:type="gramStart"/>
      <w:r>
        <w:rPr>
          <w:rFonts w:ascii="標楷體" w:eastAsia="標楷體" w:hAnsi="標楷體" w:hint="eastAsia"/>
          <w:sz w:val="28"/>
          <w:szCs w:val="28"/>
        </w:rPr>
        <w:t>改課非住家</w:t>
      </w:r>
      <w:proofErr w:type="gramEnd"/>
      <w:r>
        <w:rPr>
          <w:rFonts w:ascii="標楷體" w:eastAsia="標楷體" w:hAnsi="標楷體" w:hint="eastAsia"/>
          <w:sz w:val="28"/>
          <w:szCs w:val="28"/>
        </w:rPr>
        <w:t>用稅率，本局即</w:t>
      </w:r>
      <w:proofErr w:type="gramStart"/>
      <w:r>
        <w:rPr>
          <w:rFonts w:ascii="標楷體" w:eastAsia="標楷體" w:hAnsi="標楷體" w:hint="eastAsia"/>
          <w:sz w:val="28"/>
          <w:szCs w:val="28"/>
        </w:rPr>
        <w:t>逕</w:t>
      </w:r>
      <w:proofErr w:type="gramEnd"/>
      <w:r>
        <w:rPr>
          <w:rFonts w:ascii="標楷體" w:eastAsia="標楷體" w:hAnsi="標楷體" w:hint="eastAsia"/>
          <w:sz w:val="28"/>
          <w:szCs w:val="28"/>
        </w:rPr>
        <w:t>為</w:t>
      </w:r>
      <w:r w:rsidRPr="000E5D5D">
        <w:rPr>
          <w:rFonts w:ascii="標楷體" w:eastAsia="標楷體" w:hAnsi="標楷體" w:hint="eastAsia"/>
          <w:b/>
          <w:sz w:val="28"/>
          <w:szCs w:val="28"/>
        </w:rPr>
        <w:t>結案</w:t>
      </w:r>
      <w:r>
        <w:rPr>
          <w:rFonts w:ascii="標楷體" w:eastAsia="標楷體" w:hAnsi="標楷體" w:hint="eastAsia"/>
          <w:sz w:val="28"/>
          <w:szCs w:val="28"/>
        </w:rPr>
        <w:t>。</w:t>
      </w:r>
    </w:p>
    <w:p w:rsidR="007805B2" w:rsidRPr="0050280B" w:rsidRDefault="007805B2" w:rsidP="00052F2F">
      <w:pPr>
        <w:spacing w:line="500" w:lineRule="exact"/>
        <w:ind w:firstLineChars="152" w:firstLine="426"/>
        <w:rPr>
          <w:rFonts w:ascii="標楷體" w:eastAsia="標楷體" w:hAnsi="標楷體"/>
          <w:b/>
          <w:sz w:val="28"/>
          <w:szCs w:val="28"/>
        </w:rPr>
      </w:pPr>
      <w:r w:rsidRPr="0050280B">
        <w:rPr>
          <w:rFonts w:ascii="標楷體" w:eastAsia="標楷體" w:hAnsi="標楷體" w:hint="eastAsia"/>
          <w:b/>
          <w:sz w:val="28"/>
          <w:szCs w:val="28"/>
        </w:rPr>
        <w:t>(二)</w:t>
      </w:r>
      <w:r>
        <w:rPr>
          <w:rFonts w:ascii="標楷體" w:eastAsia="標楷體" w:hAnsi="標楷體" w:hint="eastAsia"/>
          <w:b/>
          <w:sz w:val="28"/>
          <w:szCs w:val="28"/>
        </w:rPr>
        <w:t xml:space="preserve"> </w:t>
      </w:r>
      <w:r w:rsidRPr="0050280B">
        <w:rPr>
          <w:rFonts w:ascii="標楷體" w:eastAsia="標楷體" w:hAnsi="標楷體" w:hint="eastAsia"/>
          <w:b/>
          <w:sz w:val="28"/>
          <w:szCs w:val="28"/>
        </w:rPr>
        <w:t>相關配套及未來加強方向：</w:t>
      </w:r>
    </w:p>
    <w:p w:rsidR="007805B2" w:rsidRDefault="007805B2" w:rsidP="004E0440">
      <w:pPr>
        <w:pStyle w:val="a4"/>
        <w:numPr>
          <w:ilvl w:val="0"/>
          <w:numId w:val="7"/>
        </w:numPr>
        <w:spacing w:line="500" w:lineRule="exact"/>
        <w:ind w:leftChars="0" w:left="1134" w:hanging="425"/>
        <w:rPr>
          <w:rFonts w:ascii="標楷體" w:eastAsia="標楷體" w:hAnsi="標楷體"/>
          <w:sz w:val="28"/>
          <w:szCs w:val="28"/>
        </w:rPr>
      </w:pPr>
      <w:r w:rsidRPr="00B05162">
        <w:rPr>
          <w:rFonts w:ascii="標楷體" w:eastAsia="標楷體" w:hAnsi="標楷體" w:hint="eastAsia"/>
          <w:b/>
          <w:sz w:val="28"/>
          <w:szCs w:val="28"/>
        </w:rPr>
        <w:t>稅籍變更</w:t>
      </w:r>
      <w:r w:rsidR="00545135">
        <w:rPr>
          <w:rFonts w:ascii="標楷體" w:eastAsia="標楷體" w:hAnsi="標楷體" w:hint="eastAsia"/>
          <w:b/>
          <w:sz w:val="28"/>
          <w:szCs w:val="28"/>
        </w:rPr>
        <w:t>加強勸導</w:t>
      </w:r>
      <w:r w:rsidRPr="00B05162">
        <w:rPr>
          <w:rFonts w:ascii="標楷體" w:eastAsia="標楷體" w:hAnsi="標楷體" w:hint="eastAsia"/>
          <w:b/>
          <w:sz w:val="28"/>
          <w:szCs w:val="28"/>
        </w:rPr>
        <w:t>：</w:t>
      </w:r>
      <w:r>
        <w:rPr>
          <w:rFonts w:ascii="標楷體" w:eastAsia="標楷體" w:hAnsi="標楷體" w:hint="eastAsia"/>
          <w:sz w:val="28"/>
          <w:szCs w:val="28"/>
        </w:rPr>
        <w:t>稅捐處已針對都市計畫規定不得作住宅使用之區域</w:t>
      </w:r>
      <w:r w:rsidRPr="00B05162">
        <w:rPr>
          <w:rFonts w:ascii="標楷體" w:eastAsia="標楷體" w:hAnsi="標楷體" w:hint="eastAsia"/>
          <w:sz w:val="28"/>
          <w:szCs w:val="28"/>
        </w:rPr>
        <w:t>勸導民眾不得變更為</w:t>
      </w:r>
      <w:r>
        <w:rPr>
          <w:rFonts w:ascii="標楷體" w:eastAsia="標楷體" w:hAnsi="標楷體" w:hint="eastAsia"/>
          <w:sz w:val="28"/>
          <w:szCs w:val="28"/>
        </w:rPr>
        <w:t>住家稅率切勿違規使用。</w:t>
      </w:r>
    </w:p>
    <w:p w:rsidR="007805B2" w:rsidRPr="00B05162" w:rsidRDefault="007805B2" w:rsidP="004E0440">
      <w:pPr>
        <w:pStyle w:val="a4"/>
        <w:numPr>
          <w:ilvl w:val="0"/>
          <w:numId w:val="7"/>
        </w:numPr>
        <w:spacing w:line="500" w:lineRule="exact"/>
        <w:ind w:leftChars="0" w:left="1134" w:hanging="425"/>
        <w:rPr>
          <w:rFonts w:ascii="標楷體" w:eastAsia="標楷體" w:hAnsi="標楷體"/>
          <w:sz w:val="28"/>
          <w:szCs w:val="28"/>
        </w:rPr>
      </w:pPr>
      <w:r w:rsidRPr="00B05162">
        <w:rPr>
          <w:rFonts w:ascii="標楷體" w:eastAsia="標楷體" w:hAnsi="標楷體" w:hint="eastAsia"/>
          <w:b/>
          <w:sz w:val="28"/>
          <w:szCs w:val="28"/>
        </w:rPr>
        <w:t>營業事實橫向聯繫：</w:t>
      </w:r>
      <w:proofErr w:type="gramStart"/>
      <w:r>
        <w:rPr>
          <w:rFonts w:ascii="標楷體" w:eastAsia="標楷體" w:hAnsi="標楷體" w:hint="eastAsia"/>
          <w:sz w:val="28"/>
          <w:szCs w:val="28"/>
        </w:rPr>
        <w:t>倘經</w:t>
      </w:r>
      <w:r w:rsidRPr="00364507">
        <w:rPr>
          <w:rFonts w:ascii="標楷體" w:eastAsia="標楷體" w:hAnsi="標楷體" w:hint="eastAsia"/>
          <w:sz w:val="28"/>
          <w:szCs w:val="28"/>
        </w:rPr>
        <w:t>商業</w:t>
      </w:r>
      <w:proofErr w:type="gramEnd"/>
      <w:r w:rsidRPr="00364507">
        <w:rPr>
          <w:rFonts w:ascii="標楷體" w:eastAsia="標楷體" w:hAnsi="標楷體" w:hint="eastAsia"/>
          <w:sz w:val="28"/>
          <w:szCs w:val="28"/>
        </w:rPr>
        <w:t>處</w:t>
      </w:r>
      <w:r>
        <w:rPr>
          <w:rFonts w:ascii="標楷體" w:eastAsia="標楷體" w:hAnsi="標楷體" w:hint="eastAsia"/>
          <w:sz w:val="28"/>
          <w:szCs w:val="28"/>
        </w:rPr>
        <w:t>或</w:t>
      </w:r>
      <w:r w:rsidRPr="00380FAA">
        <w:rPr>
          <w:rFonts w:ascii="標楷體" w:eastAsia="標楷體" w:hAnsi="標楷體" w:hint="eastAsia"/>
          <w:sz w:val="28"/>
          <w:szCs w:val="28"/>
        </w:rPr>
        <w:t>國稅局</w:t>
      </w:r>
      <w:r>
        <w:rPr>
          <w:rFonts w:ascii="標楷體" w:eastAsia="標楷體" w:hAnsi="標楷體" w:hint="eastAsia"/>
          <w:sz w:val="28"/>
          <w:szCs w:val="28"/>
        </w:rPr>
        <w:t>稽查，</w:t>
      </w:r>
      <w:r w:rsidRPr="00B05162">
        <w:rPr>
          <w:rFonts w:ascii="標楷體" w:eastAsia="標楷體" w:hAnsi="標楷體" w:hint="eastAsia"/>
          <w:sz w:val="28"/>
          <w:szCs w:val="28"/>
        </w:rPr>
        <w:t>無營業事實並註銷商業</w:t>
      </w:r>
      <w:r w:rsidRPr="00B05162">
        <w:rPr>
          <w:rFonts w:ascii="標楷體" w:eastAsia="標楷體" w:hAnsi="標楷體" w:hint="eastAsia"/>
          <w:sz w:val="28"/>
          <w:szCs w:val="28"/>
        </w:rPr>
        <w:lastRenderedPageBreak/>
        <w:t>登記者，本局將於接獲通報後依規定續處。</w:t>
      </w:r>
    </w:p>
    <w:p w:rsidR="007805B2" w:rsidRDefault="007805B2" w:rsidP="004E0440">
      <w:pPr>
        <w:pStyle w:val="a4"/>
        <w:numPr>
          <w:ilvl w:val="0"/>
          <w:numId w:val="7"/>
        </w:numPr>
        <w:spacing w:line="500" w:lineRule="exact"/>
        <w:ind w:leftChars="0" w:left="1134" w:hanging="425"/>
        <w:rPr>
          <w:rFonts w:ascii="標楷體" w:eastAsia="標楷體" w:hAnsi="標楷體"/>
          <w:sz w:val="28"/>
          <w:szCs w:val="28"/>
        </w:rPr>
      </w:pPr>
      <w:r w:rsidRPr="00B05162">
        <w:rPr>
          <w:rFonts w:ascii="標楷體" w:eastAsia="標楷體" w:hAnsi="標楷體" w:hint="eastAsia"/>
          <w:b/>
          <w:sz w:val="28"/>
          <w:szCs w:val="28"/>
        </w:rPr>
        <w:t>核實商業登記：</w:t>
      </w:r>
      <w:r>
        <w:rPr>
          <w:rFonts w:ascii="標楷體" w:eastAsia="標楷體" w:hAnsi="標楷體" w:hint="eastAsia"/>
          <w:sz w:val="28"/>
          <w:szCs w:val="28"/>
        </w:rPr>
        <w:t>本局與商業處透過聯審機制協助民眾瞭解申請地點是否符合都市計畫法相關規定</w:t>
      </w:r>
      <w:r w:rsidRPr="00380FAA">
        <w:rPr>
          <w:rFonts w:ascii="標楷體" w:eastAsia="標楷體" w:hAnsi="標楷體" w:hint="eastAsia"/>
          <w:sz w:val="28"/>
          <w:szCs w:val="28"/>
        </w:rPr>
        <w:t>。</w:t>
      </w:r>
    </w:p>
    <w:p w:rsidR="007805B2" w:rsidRPr="0022315D" w:rsidRDefault="007805B2" w:rsidP="004E0440">
      <w:pPr>
        <w:pStyle w:val="a4"/>
        <w:numPr>
          <w:ilvl w:val="0"/>
          <w:numId w:val="7"/>
        </w:numPr>
        <w:spacing w:line="500" w:lineRule="exact"/>
        <w:ind w:leftChars="0" w:left="1134" w:hanging="425"/>
        <w:rPr>
          <w:rFonts w:ascii="標楷體" w:eastAsia="標楷體" w:hAnsi="標楷體"/>
          <w:sz w:val="28"/>
          <w:szCs w:val="28"/>
        </w:rPr>
      </w:pPr>
      <w:r w:rsidRPr="00B05162">
        <w:rPr>
          <w:rFonts w:ascii="標楷體" w:eastAsia="標楷體" w:hAnsi="標楷體" w:hint="eastAsia"/>
          <w:b/>
          <w:sz w:val="28"/>
          <w:szCs w:val="28"/>
        </w:rPr>
        <w:t>公示資料註記：</w:t>
      </w:r>
      <w:r w:rsidRPr="0022315D">
        <w:rPr>
          <w:rFonts w:ascii="標楷體" w:eastAsia="標楷體" w:hAnsi="標楷體" w:hint="eastAsia"/>
          <w:sz w:val="28"/>
          <w:szCs w:val="28"/>
        </w:rPr>
        <w:t>未來</w:t>
      </w:r>
      <w:proofErr w:type="gramStart"/>
      <w:r w:rsidRPr="0022315D">
        <w:rPr>
          <w:rFonts w:ascii="標楷體" w:eastAsia="標楷體" w:hAnsi="標楷體" w:hint="eastAsia"/>
          <w:sz w:val="28"/>
          <w:szCs w:val="28"/>
        </w:rPr>
        <w:t>大彎北段</w:t>
      </w:r>
      <w:proofErr w:type="gramEnd"/>
      <w:r w:rsidRPr="0022315D">
        <w:rPr>
          <w:rFonts w:ascii="標楷體" w:eastAsia="標楷體" w:hAnsi="標楷體" w:hint="eastAsia"/>
          <w:sz w:val="28"/>
          <w:szCs w:val="28"/>
        </w:rPr>
        <w:t>將針對不得作住宅使用之所有土地、建物，</w:t>
      </w:r>
      <w:r>
        <w:rPr>
          <w:rFonts w:ascii="標楷體" w:eastAsia="標楷體" w:hAnsi="標楷體" w:hint="eastAsia"/>
          <w:sz w:val="28"/>
          <w:szCs w:val="28"/>
        </w:rPr>
        <w:t>建管處將於建築</w:t>
      </w:r>
      <w:r w:rsidRPr="0022315D">
        <w:rPr>
          <w:rFonts w:ascii="標楷體" w:eastAsia="標楷體" w:hAnsi="標楷體" w:hint="eastAsia"/>
          <w:sz w:val="28"/>
          <w:szCs w:val="28"/>
        </w:rPr>
        <w:t>執照</w:t>
      </w:r>
      <w:r w:rsidRPr="00B05162">
        <w:rPr>
          <w:rFonts w:ascii="標楷體" w:eastAsia="標楷體" w:hAnsi="標楷體" w:hint="eastAsia"/>
          <w:sz w:val="28"/>
          <w:szCs w:val="28"/>
        </w:rPr>
        <w:t>內註記</w:t>
      </w:r>
      <w:proofErr w:type="gramStart"/>
      <w:r w:rsidRPr="00B05162">
        <w:rPr>
          <w:rFonts w:ascii="標楷體" w:eastAsia="標楷體" w:hAnsi="標楷體" w:hint="eastAsia"/>
          <w:sz w:val="28"/>
          <w:szCs w:val="28"/>
        </w:rPr>
        <w:t>警示語</w:t>
      </w:r>
      <w:proofErr w:type="gramEnd"/>
      <w:r w:rsidRPr="00B05162">
        <w:rPr>
          <w:rFonts w:ascii="標楷體" w:eastAsia="標楷體" w:hAnsi="標楷體" w:hint="eastAsia"/>
          <w:sz w:val="28"/>
          <w:szCs w:val="28"/>
        </w:rPr>
        <w:t>，並</w:t>
      </w:r>
      <w:r w:rsidRPr="0022315D">
        <w:rPr>
          <w:rFonts w:ascii="標楷體" w:eastAsia="標楷體" w:hAnsi="標楷體" w:hint="eastAsia"/>
          <w:sz w:val="28"/>
          <w:szCs w:val="28"/>
        </w:rPr>
        <w:t>橫向聯繫地政局註記於謄本參考資訊欄位。</w:t>
      </w:r>
    </w:p>
    <w:p w:rsidR="007805B2" w:rsidRDefault="007805B2" w:rsidP="004E0440">
      <w:pPr>
        <w:pStyle w:val="a4"/>
        <w:numPr>
          <w:ilvl w:val="0"/>
          <w:numId w:val="7"/>
        </w:numPr>
        <w:spacing w:line="500" w:lineRule="exact"/>
        <w:ind w:leftChars="0" w:left="1134" w:hanging="425"/>
        <w:rPr>
          <w:rFonts w:ascii="標楷體" w:eastAsia="標楷體" w:hAnsi="標楷體"/>
          <w:sz w:val="28"/>
          <w:szCs w:val="28"/>
        </w:rPr>
      </w:pPr>
      <w:r w:rsidRPr="00B05162">
        <w:rPr>
          <w:rFonts w:ascii="標楷體" w:eastAsia="標楷體" w:hAnsi="標楷體" w:hint="eastAsia"/>
          <w:b/>
          <w:sz w:val="28"/>
          <w:szCs w:val="28"/>
        </w:rPr>
        <w:t>杜絕消費糾紛：</w:t>
      </w:r>
      <w:r w:rsidRPr="00B05162">
        <w:rPr>
          <w:rFonts w:ascii="標楷體" w:eastAsia="標楷體" w:hAnsi="標楷體" w:hint="eastAsia"/>
          <w:sz w:val="28"/>
          <w:szCs w:val="28"/>
        </w:rPr>
        <w:t>地政局已針對不動產業者、經紀人進行控管獎懲；公平交易委員會亦已針對不動產廣告制定處理原則，無論預售屋、</w:t>
      </w:r>
      <w:proofErr w:type="gramStart"/>
      <w:r w:rsidRPr="00B05162">
        <w:rPr>
          <w:rFonts w:ascii="標楷體" w:eastAsia="標楷體" w:hAnsi="標楷體" w:hint="eastAsia"/>
          <w:sz w:val="28"/>
          <w:szCs w:val="28"/>
        </w:rPr>
        <w:t>成屋皆為</w:t>
      </w:r>
      <w:proofErr w:type="gramEnd"/>
      <w:r w:rsidRPr="00B05162">
        <w:rPr>
          <w:rFonts w:ascii="標楷體" w:eastAsia="標楷體" w:hAnsi="標楷體" w:hint="eastAsia"/>
          <w:sz w:val="28"/>
          <w:szCs w:val="28"/>
        </w:rPr>
        <w:t>控管對象，杜絕善</w:t>
      </w:r>
      <w:r>
        <w:rPr>
          <w:rFonts w:ascii="標楷體" w:eastAsia="標楷體" w:hAnsi="標楷體" w:hint="eastAsia"/>
          <w:sz w:val="28"/>
          <w:szCs w:val="28"/>
        </w:rPr>
        <w:t>意第三人遭受欺騙。</w:t>
      </w:r>
    </w:p>
    <w:p w:rsidR="00787C67" w:rsidRPr="006E06C1" w:rsidRDefault="00787C67" w:rsidP="006E06C1">
      <w:pPr>
        <w:spacing w:line="540" w:lineRule="exact"/>
        <w:rPr>
          <w:rFonts w:ascii="標楷體" w:eastAsia="標楷體" w:hAnsi="標楷體"/>
          <w:sz w:val="28"/>
          <w:szCs w:val="28"/>
        </w:rPr>
      </w:pPr>
    </w:p>
    <w:sectPr w:rsidR="00787C67" w:rsidRPr="006E06C1" w:rsidSect="00F26CB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27E"/>
    <w:multiLevelType w:val="hybridMultilevel"/>
    <w:tmpl w:val="CCFC9D7C"/>
    <w:lvl w:ilvl="0" w:tplc="471A143A">
      <w:start w:val="1"/>
      <w:numFmt w:val="taiwaneseCountingThousand"/>
      <w:lvlText w:val="%1、"/>
      <w:lvlJc w:val="center"/>
      <w:pPr>
        <w:ind w:left="480" w:hanging="480"/>
      </w:pPr>
      <w:rPr>
        <w:rFonts w:hint="eastAsia"/>
      </w:rPr>
    </w:lvl>
    <w:lvl w:ilvl="1" w:tplc="8A567234">
      <w:start w:val="1"/>
      <w:numFmt w:val="taiwaneseCountingThousand"/>
      <w:lvlText w:val="(%2)"/>
      <w:lvlJc w:val="center"/>
      <w:pPr>
        <w:ind w:left="960" w:hanging="480"/>
      </w:pPr>
      <w:rPr>
        <w:rFonts w:hint="eastAsia"/>
      </w:rPr>
    </w:lvl>
    <w:lvl w:ilvl="2" w:tplc="0409000F">
      <w:start w:val="1"/>
      <w:numFmt w:val="decimal"/>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262614"/>
    <w:multiLevelType w:val="hybridMultilevel"/>
    <w:tmpl w:val="20781B12"/>
    <w:lvl w:ilvl="0" w:tplc="EA8C8C3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C61CDC"/>
    <w:multiLevelType w:val="hybridMultilevel"/>
    <w:tmpl w:val="1618083A"/>
    <w:lvl w:ilvl="0" w:tplc="04090015">
      <w:start w:val="1"/>
      <w:numFmt w:val="taiwaneseCountingThousand"/>
      <w:lvlText w:val="%1、"/>
      <w:lvlJc w:val="left"/>
      <w:pPr>
        <w:ind w:left="480" w:hanging="480"/>
      </w:pPr>
    </w:lvl>
    <w:lvl w:ilvl="1" w:tplc="34DA08A6">
      <w:start w:val="1"/>
      <w:numFmt w:val="taiwaneseCountingThousand"/>
      <w:lvlText w:val="(%2)"/>
      <w:lvlJc w:val="left"/>
      <w:pPr>
        <w:tabs>
          <w:tab w:val="num" w:pos="1247"/>
        </w:tabs>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C54E83"/>
    <w:multiLevelType w:val="hybridMultilevel"/>
    <w:tmpl w:val="F3FA7CC6"/>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99166B"/>
    <w:multiLevelType w:val="hybridMultilevel"/>
    <w:tmpl w:val="733E6F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103DA4"/>
    <w:multiLevelType w:val="hybridMultilevel"/>
    <w:tmpl w:val="E6029E10"/>
    <w:lvl w:ilvl="0" w:tplc="EBD024E6">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CF1FDC"/>
    <w:multiLevelType w:val="hybridMultilevel"/>
    <w:tmpl w:val="AE684FC0"/>
    <w:lvl w:ilvl="0" w:tplc="751661E2">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4966C6"/>
    <w:multiLevelType w:val="hybridMultilevel"/>
    <w:tmpl w:val="163EB238"/>
    <w:lvl w:ilvl="0" w:tplc="9D3691A0">
      <w:start w:val="1"/>
      <w:numFmt w:val="decimal"/>
      <w:lvlText w:val="%1."/>
      <w:lvlJc w:val="left"/>
      <w:pPr>
        <w:tabs>
          <w:tab w:val="num" w:pos="720"/>
        </w:tabs>
        <w:ind w:left="720" w:hanging="360"/>
      </w:pPr>
    </w:lvl>
    <w:lvl w:ilvl="1" w:tplc="3F5637E2" w:tentative="1">
      <w:start w:val="1"/>
      <w:numFmt w:val="decimal"/>
      <w:lvlText w:val="%2."/>
      <w:lvlJc w:val="left"/>
      <w:pPr>
        <w:tabs>
          <w:tab w:val="num" w:pos="1440"/>
        </w:tabs>
        <w:ind w:left="1440" w:hanging="360"/>
      </w:pPr>
    </w:lvl>
    <w:lvl w:ilvl="2" w:tplc="46C4374A" w:tentative="1">
      <w:start w:val="1"/>
      <w:numFmt w:val="decimal"/>
      <w:lvlText w:val="%3."/>
      <w:lvlJc w:val="left"/>
      <w:pPr>
        <w:tabs>
          <w:tab w:val="num" w:pos="2160"/>
        </w:tabs>
        <w:ind w:left="2160" w:hanging="360"/>
      </w:pPr>
    </w:lvl>
    <w:lvl w:ilvl="3" w:tplc="67CC7FE0" w:tentative="1">
      <w:start w:val="1"/>
      <w:numFmt w:val="decimal"/>
      <w:lvlText w:val="%4."/>
      <w:lvlJc w:val="left"/>
      <w:pPr>
        <w:tabs>
          <w:tab w:val="num" w:pos="2880"/>
        </w:tabs>
        <w:ind w:left="2880" w:hanging="360"/>
      </w:pPr>
    </w:lvl>
    <w:lvl w:ilvl="4" w:tplc="1B36658E" w:tentative="1">
      <w:start w:val="1"/>
      <w:numFmt w:val="decimal"/>
      <w:lvlText w:val="%5."/>
      <w:lvlJc w:val="left"/>
      <w:pPr>
        <w:tabs>
          <w:tab w:val="num" w:pos="3600"/>
        </w:tabs>
        <w:ind w:left="3600" w:hanging="360"/>
      </w:pPr>
    </w:lvl>
    <w:lvl w:ilvl="5" w:tplc="78C2231C" w:tentative="1">
      <w:start w:val="1"/>
      <w:numFmt w:val="decimal"/>
      <w:lvlText w:val="%6."/>
      <w:lvlJc w:val="left"/>
      <w:pPr>
        <w:tabs>
          <w:tab w:val="num" w:pos="4320"/>
        </w:tabs>
        <w:ind w:left="4320" w:hanging="360"/>
      </w:pPr>
    </w:lvl>
    <w:lvl w:ilvl="6" w:tplc="4226FED6" w:tentative="1">
      <w:start w:val="1"/>
      <w:numFmt w:val="decimal"/>
      <w:lvlText w:val="%7."/>
      <w:lvlJc w:val="left"/>
      <w:pPr>
        <w:tabs>
          <w:tab w:val="num" w:pos="5040"/>
        </w:tabs>
        <w:ind w:left="5040" w:hanging="360"/>
      </w:pPr>
    </w:lvl>
    <w:lvl w:ilvl="7" w:tplc="F6DAC6B0" w:tentative="1">
      <w:start w:val="1"/>
      <w:numFmt w:val="decimal"/>
      <w:lvlText w:val="%8."/>
      <w:lvlJc w:val="left"/>
      <w:pPr>
        <w:tabs>
          <w:tab w:val="num" w:pos="5760"/>
        </w:tabs>
        <w:ind w:left="5760" w:hanging="360"/>
      </w:pPr>
    </w:lvl>
    <w:lvl w:ilvl="8" w:tplc="F4609062" w:tentative="1">
      <w:start w:val="1"/>
      <w:numFmt w:val="decimal"/>
      <w:lvlText w:val="%9."/>
      <w:lvlJc w:val="left"/>
      <w:pPr>
        <w:tabs>
          <w:tab w:val="num" w:pos="6480"/>
        </w:tabs>
        <w:ind w:left="6480" w:hanging="360"/>
      </w:pPr>
    </w:lvl>
  </w:abstractNum>
  <w:abstractNum w:abstractNumId="8">
    <w:nsid w:val="3FD105B4"/>
    <w:multiLevelType w:val="hybridMultilevel"/>
    <w:tmpl w:val="03AE8EF4"/>
    <w:lvl w:ilvl="0" w:tplc="EBD024E6">
      <w:start w:val="1"/>
      <w:numFmt w:val="taiwaneseCountingThousand"/>
      <w:suff w:val="nothing"/>
      <w:lvlText w:val="（%1）"/>
      <w:lvlJc w:val="left"/>
      <w:pPr>
        <w:ind w:left="36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47570D34"/>
    <w:multiLevelType w:val="hybridMultilevel"/>
    <w:tmpl w:val="4C5A9A4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97C59E3"/>
    <w:multiLevelType w:val="hybridMultilevel"/>
    <w:tmpl w:val="398643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537E559C"/>
    <w:multiLevelType w:val="hybridMultilevel"/>
    <w:tmpl w:val="D74C2432"/>
    <w:lvl w:ilvl="0" w:tplc="59EAD2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625759E"/>
    <w:multiLevelType w:val="hybridMultilevel"/>
    <w:tmpl w:val="D74C2432"/>
    <w:lvl w:ilvl="0" w:tplc="59EAD2D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10"/>
  </w:num>
  <w:num w:numId="2">
    <w:abstractNumId w:val="6"/>
  </w:num>
  <w:num w:numId="3">
    <w:abstractNumId w:val="4"/>
  </w:num>
  <w:num w:numId="4">
    <w:abstractNumId w:val="2"/>
  </w:num>
  <w:num w:numId="5">
    <w:abstractNumId w:val="0"/>
  </w:num>
  <w:num w:numId="6">
    <w:abstractNumId w:val="12"/>
  </w:num>
  <w:num w:numId="7">
    <w:abstractNumId w:val="11"/>
  </w:num>
  <w:num w:numId="8">
    <w:abstractNumId w:val="3"/>
  </w:num>
  <w:num w:numId="9">
    <w:abstractNumId w:val="1"/>
  </w:num>
  <w:num w:numId="10">
    <w:abstractNumId w:val="7"/>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41"/>
    <w:rsid w:val="00040097"/>
    <w:rsid w:val="00052F2F"/>
    <w:rsid w:val="000949BB"/>
    <w:rsid w:val="000B4C72"/>
    <w:rsid w:val="00135D66"/>
    <w:rsid w:val="00187383"/>
    <w:rsid w:val="001A5A7C"/>
    <w:rsid w:val="001B7BF9"/>
    <w:rsid w:val="001C050A"/>
    <w:rsid w:val="00245747"/>
    <w:rsid w:val="002E2A6F"/>
    <w:rsid w:val="003A702C"/>
    <w:rsid w:val="003E107F"/>
    <w:rsid w:val="003F0EA4"/>
    <w:rsid w:val="0043799B"/>
    <w:rsid w:val="004D3178"/>
    <w:rsid w:val="004E0440"/>
    <w:rsid w:val="00545135"/>
    <w:rsid w:val="0058469E"/>
    <w:rsid w:val="00626229"/>
    <w:rsid w:val="006E06C1"/>
    <w:rsid w:val="00774208"/>
    <w:rsid w:val="007805B2"/>
    <w:rsid w:val="007875BD"/>
    <w:rsid w:val="00787C67"/>
    <w:rsid w:val="00790F5F"/>
    <w:rsid w:val="007B6725"/>
    <w:rsid w:val="00884168"/>
    <w:rsid w:val="00886E95"/>
    <w:rsid w:val="0094654A"/>
    <w:rsid w:val="00985CE0"/>
    <w:rsid w:val="00A12265"/>
    <w:rsid w:val="00A1723E"/>
    <w:rsid w:val="00AE44CB"/>
    <w:rsid w:val="00BB5341"/>
    <w:rsid w:val="00BE523B"/>
    <w:rsid w:val="00C0649E"/>
    <w:rsid w:val="00C140AB"/>
    <w:rsid w:val="00C44E89"/>
    <w:rsid w:val="00CB7A57"/>
    <w:rsid w:val="00DA2269"/>
    <w:rsid w:val="00E36955"/>
    <w:rsid w:val="00E40FEE"/>
    <w:rsid w:val="00EB4B47"/>
    <w:rsid w:val="00EF2ABF"/>
    <w:rsid w:val="00F26CB7"/>
    <w:rsid w:val="00F95237"/>
    <w:rsid w:val="00FB09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097F"/>
    <w:pPr>
      <w:ind w:leftChars="200" w:left="480"/>
    </w:pPr>
  </w:style>
  <w:style w:type="paragraph" w:styleId="a5">
    <w:name w:val="Balloon Text"/>
    <w:basedOn w:val="a"/>
    <w:link w:val="a6"/>
    <w:uiPriority w:val="99"/>
    <w:semiHidden/>
    <w:unhideWhenUsed/>
    <w:rsid w:val="007875B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875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097F"/>
    <w:pPr>
      <w:ind w:leftChars="200" w:left="480"/>
    </w:pPr>
  </w:style>
  <w:style w:type="paragraph" w:styleId="a5">
    <w:name w:val="Balloon Text"/>
    <w:basedOn w:val="a"/>
    <w:link w:val="a6"/>
    <w:uiPriority w:val="99"/>
    <w:semiHidden/>
    <w:unhideWhenUsed/>
    <w:rsid w:val="007875B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875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131">
      <w:bodyDiv w:val="1"/>
      <w:marLeft w:val="0"/>
      <w:marRight w:val="0"/>
      <w:marTop w:val="0"/>
      <w:marBottom w:val="0"/>
      <w:divBdr>
        <w:top w:val="none" w:sz="0" w:space="0" w:color="auto"/>
        <w:left w:val="none" w:sz="0" w:space="0" w:color="auto"/>
        <w:bottom w:val="none" w:sz="0" w:space="0" w:color="auto"/>
        <w:right w:val="none" w:sz="0" w:space="0" w:color="auto"/>
      </w:divBdr>
      <w:divsChild>
        <w:div w:id="1603874309">
          <w:marLeft w:val="547"/>
          <w:marRight w:val="0"/>
          <w:marTop w:val="0"/>
          <w:marBottom w:val="0"/>
          <w:divBdr>
            <w:top w:val="none" w:sz="0" w:space="0" w:color="auto"/>
            <w:left w:val="none" w:sz="0" w:space="0" w:color="auto"/>
            <w:bottom w:val="none" w:sz="0" w:space="0" w:color="auto"/>
            <w:right w:val="none" w:sz="0" w:space="0" w:color="auto"/>
          </w:divBdr>
        </w:div>
      </w:divsChild>
    </w:div>
    <w:div w:id="1364281857">
      <w:bodyDiv w:val="1"/>
      <w:marLeft w:val="0"/>
      <w:marRight w:val="0"/>
      <w:marTop w:val="0"/>
      <w:marBottom w:val="0"/>
      <w:divBdr>
        <w:top w:val="none" w:sz="0" w:space="0" w:color="auto"/>
        <w:left w:val="none" w:sz="0" w:space="0" w:color="auto"/>
        <w:bottom w:val="none" w:sz="0" w:space="0" w:color="auto"/>
        <w:right w:val="none" w:sz="0" w:space="0" w:color="auto"/>
      </w:divBdr>
      <w:divsChild>
        <w:div w:id="1105266634">
          <w:marLeft w:val="720"/>
          <w:marRight w:val="0"/>
          <w:marTop w:val="0"/>
          <w:marBottom w:val="0"/>
          <w:divBdr>
            <w:top w:val="none" w:sz="0" w:space="0" w:color="auto"/>
            <w:left w:val="none" w:sz="0" w:space="0" w:color="auto"/>
            <w:bottom w:val="none" w:sz="0" w:space="0" w:color="auto"/>
            <w:right w:val="none" w:sz="0" w:space="0" w:color="auto"/>
          </w:divBdr>
        </w:div>
        <w:div w:id="1255749828">
          <w:marLeft w:val="720"/>
          <w:marRight w:val="0"/>
          <w:marTop w:val="0"/>
          <w:marBottom w:val="0"/>
          <w:divBdr>
            <w:top w:val="none" w:sz="0" w:space="0" w:color="auto"/>
            <w:left w:val="none" w:sz="0" w:space="0" w:color="auto"/>
            <w:bottom w:val="none" w:sz="0" w:space="0" w:color="auto"/>
            <w:right w:val="none" w:sz="0" w:space="0" w:color="auto"/>
          </w:divBdr>
        </w:div>
      </w:divsChild>
    </w:div>
    <w:div w:id="1792747762">
      <w:bodyDiv w:val="1"/>
      <w:marLeft w:val="0"/>
      <w:marRight w:val="0"/>
      <w:marTop w:val="0"/>
      <w:marBottom w:val="0"/>
      <w:divBdr>
        <w:top w:val="none" w:sz="0" w:space="0" w:color="auto"/>
        <w:left w:val="none" w:sz="0" w:space="0" w:color="auto"/>
        <w:bottom w:val="none" w:sz="0" w:space="0" w:color="auto"/>
        <w:right w:val="none" w:sz="0" w:space="0" w:color="auto"/>
      </w:divBdr>
      <w:divsChild>
        <w:div w:id="1013723396">
          <w:marLeft w:val="547"/>
          <w:marRight w:val="0"/>
          <w:marTop w:val="0"/>
          <w:marBottom w:val="0"/>
          <w:divBdr>
            <w:top w:val="none" w:sz="0" w:space="0" w:color="auto"/>
            <w:left w:val="none" w:sz="0" w:space="0" w:color="auto"/>
            <w:bottom w:val="none" w:sz="0" w:space="0" w:color="auto"/>
            <w:right w:val="none" w:sz="0" w:space="0" w:color="auto"/>
          </w:divBdr>
        </w:div>
      </w:divsChild>
    </w:div>
    <w:div w:id="20682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397C-88C3-45C9-BB82-F857FBD2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dc:creator>
  <cp:lastModifiedBy>tms</cp:lastModifiedBy>
  <cp:revision>23</cp:revision>
  <cp:lastPrinted>2017-12-11T03:54:00Z</cp:lastPrinted>
  <dcterms:created xsi:type="dcterms:W3CDTF">2017-12-07T08:53:00Z</dcterms:created>
  <dcterms:modified xsi:type="dcterms:W3CDTF">2017-12-11T03:54:00Z</dcterms:modified>
</cp:coreProperties>
</file>